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FAC9" w14:textId="4A2F9E2D" w:rsidR="00AE03F5" w:rsidRPr="00136FCE" w:rsidRDefault="00AE03F5" w:rsidP="004C1448">
      <w:pPr>
        <w:pStyle w:val="Heading1"/>
        <w:spacing w:before="240"/>
      </w:pPr>
      <w:r w:rsidRPr="00442170">
        <w:t>Developing a Memorandum of Understanding</w:t>
      </w:r>
      <w:r w:rsidR="00DE0FFE" w:rsidRPr="00442170">
        <w:t xml:space="preserve"> (MOU)</w:t>
      </w:r>
      <w:r w:rsidRPr="00442170">
        <w:t xml:space="preserve"> or Memorandum of Agreement</w:t>
      </w:r>
      <w:r w:rsidR="00DE0FFE" w:rsidRPr="00442170">
        <w:t xml:space="preserve"> (MOA)</w:t>
      </w:r>
      <w:r w:rsidRPr="00442170">
        <w:t xml:space="preserve"> to Prevent and Re</w:t>
      </w:r>
      <w:r w:rsidR="006C4606">
        <w:t xml:space="preserve">spond Effectively to Missing or </w:t>
      </w:r>
      <w:r w:rsidR="006C4606" w:rsidRPr="00442170">
        <w:t>Murdered</w:t>
      </w:r>
      <w:r w:rsidRPr="00442170">
        <w:t xml:space="preserve"> </w:t>
      </w:r>
      <w:r w:rsidR="00442170">
        <w:t>Indigenous Persons (MMIP) Cases</w:t>
      </w:r>
    </w:p>
    <w:p w14:paraId="2157266C" w14:textId="47AD52F3" w:rsidR="002D3B93" w:rsidRDefault="00AE03F5" w:rsidP="000252AB">
      <w:pPr>
        <w:pStyle w:val="BodyText"/>
        <w:rPr>
          <w:b/>
        </w:rPr>
      </w:pPr>
      <w:r w:rsidRPr="00AE03F5">
        <w:t xml:space="preserve">Partnerships between </w:t>
      </w:r>
      <w:r>
        <w:t>Triba</w:t>
      </w:r>
      <w:r w:rsidR="004C1448">
        <w:t>l</w:t>
      </w:r>
      <w:r>
        <w:t xml:space="preserve"> and </w:t>
      </w:r>
      <w:r w:rsidRPr="00AE03F5">
        <w:t>local law enforcement agencies can</w:t>
      </w:r>
      <w:r w:rsidR="00A72588">
        <w:t xml:space="preserve"> help</w:t>
      </w:r>
      <w:r w:rsidRPr="00AE03F5">
        <w:t xml:space="preserve"> strengthen</w:t>
      </w:r>
      <w:r w:rsidR="00A72588">
        <w:t xml:space="preserve"> </w:t>
      </w:r>
      <w:r w:rsidRPr="00AE03F5">
        <w:t xml:space="preserve">and sustain their efforts to prevent and effectively respond to </w:t>
      </w:r>
      <w:r>
        <w:t xml:space="preserve">MMIP cases </w:t>
      </w:r>
      <w:r w:rsidR="00442170">
        <w:t>using a fair, victim-centered</w:t>
      </w:r>
      <w:r w:rsidR="004C1448">
        <w:t>,</w:t>
      </w:r>
      <w:r w:rsidRPr="00AE03F5">
        <w:t xml:space="preserve"> an</w:t>
      </w:r>
      <w:r w:rsidR="00C4384B">
        <w:t>d trauma-informed approach. Tribal, federal</w:t>
      </w:r>
      <w:r w:rsidR="004C1448">
        <w:t>,</w:t>
      </w:r>
      <w:r w:rsidRPr="00AE03F5">
        <w:t xml:space="preserve"> and local law enforcement agencies may have various tools to support communication and collaborative efforts to prevent and respond effectively to </w:t>
      </w:r>
      <w:r w:rsidR="00C4384B">
        <w:t>MMIP cases</w:t>
      </w:r>
      <w:r w:rsidRPr="00AE03F5">
        <w:t xml:space="preserve">, including </w:t>
      </w:r>
      <w:r w:rsidR="00C4384B">
        <w:t xml:space="preserve">MOU/MOAs </w:t>
      </w:r>
      <w:r w:rsidRPr="00AE03F5">
        <w:t>and other relationship-enhancing documents. This sample MOU</w:t>
      </w:r>
      <w:r w:rsidR="00C4384B">
        <w:t>/MOA</w:t>
      </w:r>
      <w:r w:rsidRPr="00AE03F5">
        <w:t xml:space="preserve"> can be used as a guide for law enforcement agencies seeking to memo</w:t>
      </w:r>
      <w:r w:rsidR="00C4384B">
        <w:t xml:space="preserve">rialize such arrangements. </w:t>
      </w:r>
    </w:p>
    <w:p w14:paraId="20A69A03" w14:textId="509FD1FD" w:rsidR="00C4384B" w:rsidRDefault="00C4384B" w:rsidP="000252AB">
      <w:pPr>
        <w:pStyle w:val="BodyText"/>
        <w:rPr>
          <w:b/>
        </w:rPr>
      </w:pPr>
      <w:r>
        <w:t>MOU/MOAs,</w:t>
      </w:r>
      <w:r w:rsidR="00AE03F5" w:rsidRPr="00AE03F5">
        <w:t xml:space="preserve"> as referred to in this document, describe the responsibilities of the parties in carrying out an activity or process of mutual interest. They are intended to serve as tools to support collaboration, trust-building</w:t>
      </w:r>
      <w:r w:rsidR="004C1448">
        <w:t>,</w:t>
      </w:r>
      <w:r w:rsidR="00AE03F5" w:rsidRPr="00AE03F5">
        <w:t xml:space="preserve"> and coordination across parties. Formal relationships between </w:t>
      </w:r>
      <w:r w:rsidR="004C1448">
        <w:t>T</w:t>
      </w:r>
      <w:r>
        <w:t>ribal, federal</w:t>
      </w:r>
      <w:r w:rsidR="004C1448">
        <w:t>,</w:t>
      </w:r>
      <w:r w:rsidR="00AE03F5" w:rsidRPr="00AE03F5">
        <w:t xml:space="preserve"> and local law enforcement</w:t>
      </w:r>
      <w:r w:rsidR="004C1448">
        <w:t>, however,</w:t>
      </w:r>
      <w:r w:rsidR="00AE03F5" w:rsidRPr="00AE03F5">
        <w:t xml:space="preserve"> </w:t>
      </w:r>
      <w:r w:rsidR="004C1448" w:rsidRPr="00AE03F5">
        <w:t>are not limited to MOU</w:t>
      </w:r>
      <w:r w:rsidR="004C1448">
        <w:t>/MOA</w:t>
      </w:r>
      <w:r w:rsidR="004C1448" w:rsidRPr="00AE03F5">
        <w:t>s</w:t>
      </w:r>
      <w:r w:rsidR="004C1448">
        <w:t xml:space="preserve">; they may </w:t>
      </w:r>
      <w:r w:rsidR="00AE03F5" w:rsidRPr="00AE03F5">
        <w:t>take a variety of forms, depending upon the capabil</w:t>
      </w:r>
      <w:r w:rsidR="00442170">
        <w:t>ities of the respective parties</w:t>
      </w:r>
      <w:r w:rsidR="004C1448">
        <w:t>.</w:t>
      </w:r>
      <w:r w:rsidR="00AE03F5" w:rsidRPr="00AE03F5">
        <w:t xml:space="preserve"> This document is meant to provide sample language that may be helpful to law enforcement agencies as they formulate or update an MOU</w:t>
      </w:r>
      <w:r>
        <w:t>/MOA</w:t>
      </w:r>
      <w:r w:rsidR="00AE03F5" w:rsidRPr="00AE03F5">
        <w:t xml:space="preserve">. </w:t>
      </w:r>
    </w:p>
    <w:p w14:paraId="6AD4C6EF" w14:textId="77E4C5B0" w:rsidR="00792377" w:rsidRDefault="00C4384B" w:rsidP="000252AB">
      <w:pPr>
        <w:pStyle w:val="BodyText"/>
        <w:rPr>
          <w:b/>
        </w:rPr>
      </w:pPr>
      <w:r>
        <w:t>It is recognized</w:t>
      </w:r>
      <w:r w:rsidR="00AE03F5" w:rsidRPr="00AE03F5">
        <w:t xml:space="preserve"> that each </w:t>
      </w:r>
      <w:r>
        <w:t>agency</w:t>
      </w:r>
      <w:r w:rsidR="00AE03F5" w:rsidRPr="00AE03F5">
        <w:t xml:space="preserve"> is unique and that there is no “one-size-fits-all” approach in this undertaking. </w:t>
      </w:r>
      <w:r>
        <w:t>It is also understood</w:t>
      </w:r>
      <w:r w:rsidR="00AE03F5" w:rsidRPr="00AE03F5">
        <w:t xml:space="preserve"> that laws vary </w:t>
      </w:r>
      <w:r w:rsidR="004C1448">
        <w:t>across</w:t>
      </w:r>
      <w:r w:rsidR="00AE03F5" w:rsidRPr="00AE03F5">
        <w:t xml:space="preserve"> jurisdiction</w:t>
      </w:r>
      <w:r w:rsidR="004C1448">
        <w:t>s</w:t>
      </w:r>
      <w:r>
        <w:t xml:space="preserve">, whether </w:t>
      </w:r>
      <w:r w:rsidR="004C1448">
        <w:t>T</w:t>
      </w:r>
      <w:r>
        <w:t>ribal, federal, state</w:t>
      </w:r>
      <w:r w:rsidR="004C1448">
        <w:t>,</w:t>
      </w:r>
      <w:r>
        <w:t xml:space="preserve"> or local.</w:t>
      </w:r>
      <w:r w:rsidR="00AE03F5" w:rsidRPr="00AE03F5">
        <w:t xml:space="preserve"> </w:t>
      </w:r>
      <w:r w:rsidR="004C5BD7">
        <w:t>Tribal, federal</w:t>
      </w:r>
      <w:r w:rsidR="004C1448">
        <w:t>,</w:t>
      </w:r>
      <w:r w:rsidR="004C5BD7">
        <w:t xml:space="preserve"> </w:t>
      </w:r>
      <w:r w:rsidR="00AE03F5" w:rsidRPr="00AE03F5">
        <w:t>and local law enforcement agencies entering into an MOU</w:t>
      </w:r>
      <w:r w:rsidR="004C5BD7">
        <w:t>/MOA</w:t>
      </w:r>
      <w:r w:rsidR="00AE03F5" w:rsidRPr="00AE03F5">
        <w:t xml:space="preserve"> might choose to use or adapt certain provisions while leaving out others. The parties also may choose to address additional topics in an MOU</w:t>
      </w:r>
      <w:r w:rsidR="004C5BD7">
        <w:t>/MOA</w:t>
      </w:r>
      <w:r w:rsidR="00AE03F5" w:rsidRPr="00AE03F5">
        <w:t xml:space="preserve"> or other document. The parties will determine all terms, including how resources are shared and how costs will be distributed</w:t>
      </w:r>
      <w:r w:rsidR="00792377">
        <w:t>, if applicable.</w:t>
      </w:r>
      <w:r w:rsidR="00AE03F5" w:rsidRPr="00AE03F5">
        <w:t xml:space="preserve"> This sample MOU</w:t>
      </w:r>
      <w:r w:rsidR="004C5BD7">
        <w:t>/MOA</w:t>
      </w:r>
      <w:r w:rsidR="00AE03F5" w:rsidRPr="00AE03F5">
        <w:t xml:space="preserve"> does not constitute legal advice. Written understandings </w:t>
      </w:r>
      <w:r w:rsidR="004C5BD7">
        <w:t xml:space="preserve">between </w:t>
      </w:r>
      <w:r w:rsidR="004C1448">
        <w:t>T</w:t>
      </w:r>
      <w:r w:rsidR="004C5BD7">
        <w:t>ribal, federal</w:t>
      </w:r>
      <w:r w:rsidR="004C1448">
        <w:t>,</w:t>
      </w:r>
      <w:r w:rsidR="004C5BD7">
        <w:t xml:space="preserve"> and </w:t>
      </w:r>
      <w:r w:rsidR="00AE03F5" w:rsidRPr="00AE03F5">
        <w:t xml:space="preserve">local law enforcement authorities should always be reviewed by legal counsel for consistency with </w:t>
      </w:r>
      <w:r w:rsidR="004C5BD7">
        <w:t xml:space="preserve">any applicable laws as well as jurisdiction and sovereignty issues. </w:t>
      </w:r>
    </w:p>
    <w:p w14:paraId="6716BA73" w14:textId="5B5E2A7F" w:rsidR="005D55AD" w:rsidRPr="00136FCE" w:rsidRDefault="00792377" w:rsidP="000252AB">
      <w:pPr>
        <w:pStyle w:val="BodyText"/>
        <w:rPr>
          <w:b/>
        </w:rPr>
      </w:pPr>
      <w:r>
        <w:t>Coordinating MMIP</w:t>
      </w:r>
      <w:r w:rsidRPr="00792377">
        <w:t xml:space="preserve"> prevention and response works best as part of an integrated public safety and crime prevention strategy and where there is a concerted effort to develop close working re</w:t>
      </w:r>
      <w:r>
        <w:t>lationships and tr</w:t>
      </w:r>
      <w:r w:rsidR="0076553A">
        <w:t>ust among Tribal,</w:t>
      </w:r>
      <w:r w:rsidRPr="00792377">
        <w:t xml:space="preserve"> </w:t>
      </w:r>
      <w:r w:rsidR="0076553A">
        <w:t>federal</w:t>
      </w:r>
      <w:r w:rsidR="004C1448">
        <w:t>,</w:t>
      </w:r>
      <w:r w:rsidR="0076553A">
        <w:t xml:space="preserve"> and local </w:t>
      </w:r>
      <w:r w:rsidRPr="00792377">
        <w:t>law enforcement partners and</w:t>
      </w:r>
      <w:r w:rsidR="004C1448">
        <w:t>,</w:t>
      </w:r>
      <w:r w:rsidRPr="00792377">
        <w:t xml:space="preserve"> </w:t>
      </w:r>
      <w:r w:rsidR="0076553A">
        <w:t xml:space="preserve">when appropriate, other </w:t>
      </w:r>
      <w:r w:rsidRPr="00792377">
        <w:t>community groups. Thus, while this sample document is focused on the elements of an MOU</w:t>
      </w:r>
      <w:r w:rsidR="0076553A">
        <w:t>/MOA addressing MMIP</w:t>
      </w:r>
      <w:r w:rsidRPr="00792377">
        <w:t xml:space="preserve"> prevention and response, </w:t>
      </w:r>
      <w:r w:rsidR="002C742C">
        <w:t>T</w:t>
      </w:r>
      <w:r w:rsidR="0076553A">
        <w:t>ribal, federal</w:t>
      </w:r>
      <w:r w:rsidR="002C742C">
        <w:t>,</w:t>
      </w:r>
      <w:r w:rsidR="0076553A">
        <w:t xml:space="preserve"> and </w:t>
      </w:r>
      <w:r w:rsidRPr="00792377">
        <w:t>local law enforcement agencies that have not already done so should consider addressing</w:t>
      </w:r>
      <w:r w:rsidR="002C742C">
        <w:t xml:space="preserve"> </w:t>
      </w:r>
      <w:r w:rsidRPr="00792377">
        <w:t>other related crimes</w:t>
      </w:r>
      <w:r w:rsidR="002C742C" w:rsidRPr="00792377">
        <w:t xml:space="preserve"> in the same or a separate MOU</w:t>
      </w:r>
      <w:r w:rsidR="002C742C">
        <w:t>/MOA</w:t>
      </w:r>
      <w:r w:rsidR="002C742C" w:rsidRPr="00792377">
        <w:t xml:space="preserve">, </w:t>
      </w:r>
      <w:r w:rsidRPr="00792377">
        <w:t>such as domestic violence, dating violence</w:t>
      </w:r>
      <w:r w:rsidR="002C742C">
        <w:t>,</w:t>
      </w:r>
      <w:r w:rsidRPr="00792377">
        <w:t xml:space="preserve"> s</w:t>
      </w:r>
      <w:r w:rsidR="0076553A">
        <w:t>talking</w:t>
      </w:r>
      <w:r w:rsidR="002C742C">
        <w:t>,</w:t>
      </w:r>
      <w:r w:rsidR="0076553A">
        <w:t xml:space="preserve"> and</w:t>
      </w:r>
      <w:r w:rsidRPr="00792377">
        <w:t xml:space="preserve"> </w:t>
      </w:r>
      <w:r w:rsidR="0076553A">
        <w:t>runaways. Officer training is another area of great importance in MMIP and related i</w:t>
      </w:r>
      <w:r w:rsidR="00136FCE">
        <w:t>n</w:t>
      </w:r>
      <w:r w:rsidR="0076553A">
        <w:t>vestigations.</w:t>
      </w:r>
    </w:p>
    <w:p w14:paraId="3B0EA79B" w14:textId="77777777" w:rsidR="004C1448" w:rsidRDefault="004C1448" w:rsidP="004C1448">
      <w:pPr>
        <w:pStyle w:val="BodyText"/>
      </w:pPr>
      <w:r>
        <w:br w:type="page"/>
      </w:r>
    </w:p>
    <w:p w14:paraId="63D495E1" w14:textId="45A08B59" w:rsidR="00525CE8" w:rsidRPr="00136FCE" w:rsidRDefault="00A72588" w:rsidP="00A72588">
      <w:pPr>
        <w:pStyle w:val="Heading2"/>
      </w:pPr>
      <w:r>
        <w:lastRenderedPageBreak/>
        <w:t>P</w:t>
      </w:r>
      <w:r w:rsidRPr="00525CE8">
        <w:t xml:space="preserve">arties to an </w:t>
      </w:r>
      <w:r w:rsidR="0076553A" w:rsidRPr="00525CE8">
        <w:t>MOU</w:t>
      </w:r>
      <w:r w:rsidR="00525CE8" w:rsidRPr="00525CE8">
        <w:t>/MOA</w:t>
      </w:r>
      <w:r w:rsidR="0076553A" w:rsidRPr="00525CE8">
        <w:t xml:space="preserve"> </w:t>
      </w:r>
    </w:p>
    <w:p w14:paraId="6555143A" w14:textId="176E9809" w:rsidR="002D3B93" w:rsidRDefault="0076553A" w:rsidP="000252AB">
      <w:pPr>
        <w:pStyle w:val="BodyText"/>
        <w:rPr>
          <w:b/>
        </w:rPr>
      </w:pPr>
      <w:r>
        <w:t>A</w:t>
      </w:r>
      <w:r w:rsidRPr="0076553A">
        <w:t xml:space="preserve"> MOU</w:t>
      </w:r>
      <w:r>
        <w:t>/MOA</w:t>
      </w:r>
      <w:r w:rsidRPr="0076553A">
        <w:t xml:space="preserve"> should generally include </w:t>
      </w:r>
      <w:r>
        <w:t>two sets of parties: (1) the tribal law enforcement agency</w:t>
      </w:r>
      <w:r w:rsidRPr="0076553A">
        <w:t xml:space="preserve"> (in consultation with its </w:t>
      </w:r>
      <w:r w:rsidR="002C742C">
        <w:t>T</w:t>
      </w:r>
      <w:r>
        <w:t>ribal council or other oversi</w:t>
      </w:r>
      <w:r w:rsidR="002C742C">
        <w:t>ght</w:t>
      </w:r>
      <w:r>
        <w:t xml:space="preserve"> authority</w:t>
      </w:r>
      <w:r w:rsidRPr="0076553A">
        <w:t xml:space="preserve">, </w:t>
      </w:r>
      <w:r w:rsidR="006B19A8">
        <w:t>federal law enforcement</w:t>
      </w:r>
      <w:r w:rsidR="002C742C">
        <w:t>,</w:t>
      </w:r>
      <w:r w:rsidR="006B19A8">
        <w:t xml:space="preserve"> </w:t>
      </w:r>
      <w:r w:rsidRPr="0076553A">
        <w:t>and any other offices or employees with an interest in</w:t>
      </w:r>
      <w:r w:rsidR="006B19A8">
        <w:t xml:space="preserve"> or responsibility for</w:t>
      </w:r>
      <w:r w:rsidRPr="0076553A">
        <w:t xml:space="preserve"> </w:t>
      </w:r>
      <w:r w:rsidR="006B19A8">
        <w:t>MMIP</w:t>
      </w:r>
      <w:r w:rsidRPr="0076553A">
        <w:t xml:space="preserve"> prevention and response), and (2) the local law enforcement agency or agencies with jurisdiction on or around </w:t>
      </w:r>
      <w:r w:rsidR="006B19A8">
        <w:t>tribal land</w:t>
      </w:r>
      <w:r w:rsidR="00DE0FFE">
        <w:t>s</w:t>
      </w:r>
      <w:r w:rsidRPr="0076553A">
        <w:t>. These agencies may include local po</w:t>
      </w:r>
      <w:r w:rsidR="00DE0FFE">
        <w:t xml:space="preserve">lice departments, county </w:t>
      </w:r>
      <w:r w:rsidRPr="0076553A">
        <w:t>sheriff’s offices, or state police. Where a</w:t>
      </w:r>
      <w:r w:rsidR="006B19A8">
        <w:t xml:space="preserve"> tribe has more than one reservation</w:t>
      </w:r>
      <w:r w:rsidRPr="0076553A">
        <w:t>, an MOU</w:t>
      </w:r>
      <w:r w:rsidR="006B19A8">
        <w:t>/MOA</w:t>
      </w:r>
      <w:r w:rsidRPr="0076553A">
        <w:t xml:space="preserve"> should be developed with the local law enforcement agency with jurisdiction</w:t>
      </w:r>
      <w:r w:rsidR="006B19A8">
        <w:t xml:space="preserve"> on or around the area where each reservation</w:t>
      </w:r>
      <w:r w:rsidRPr="0076553A">
        <w:t xml:space="preserve"> is located. </w:t>
      </w:r>
    </w:p>
    <w:p w14:paraId="7237797C" w14:textId="34EAD63D" w:rsidR="002D3B93" w:rsidRDefault="0076553A" w:rsidP="000252AB">
      <w:pPr>
        <w:pStyle w:val="BodyText"/>
        <w:rPr>
          <w:b/>
        </w:rPr>
      </w:pPr>
      <w:r w:rsidRPr="0076553A">
        <w:t>To foster collaboration a</w:t>
      </w:r>
      <w:r w:rsidR="006B19A8">
        <w:t>nd communication between tribal law enforcement</w:t>
      </w:r>
      <w:r w:rsidRPr="0076553A">
        <w:t xml:space="preserve"> and local law enforcement agencies, and to ensure the parties have full understanding of the scope of actions necessary to prevent and respond effectively to </w:t>
      </w:r>
      <w:r w:rsidR="006B19A8">
        <w:t>MMIP cases</w:t>
      </w:r>
      <w:r w:rsidRPr="0076553A">
        <w:t xml:space="preserve">, </w:t>
      </w:r>
      <w:r w:rsidR="006B19A8">
        <w:t xml:space="preserve">tribal and local law enforcement administrators </w:t>
      </w:r>
      <w:r w:rsidR="00CE0F7E">
        <w:t>should</w:t>
      </w:r>
      <w:r w:rsidRPr="0076553A">
        <w:t xml:space="preserve"> be active participants in coordinating work completed under the MOU</w:t>
      </w:r>
      <w:r w:rsidR="00CE0F7E">
        <w:t>/MOA</w:t>
      </w:r>
      <w:r w:rsidRPr="0076553A">
        <w:t xml:space="preserve">. </w:t>
      </w:r>
    </w:p>
    <w:p w14:paraId="0AE77529" w14:textId="15A4681C" w:rsidR="00107915" w:rsidRDefault="0076553A" w:rsidP="000252AB">
      <w:pPr>
        <w:pStyle w:val="BodyText"/>
        <w:rPr>
          <w:b/>
        </w:rPr>
      </w:pPr>
      <w:r w:rsidRPr="0076553A">
        <w:t>During the development of the MOU</w:t>
      </w:r>
      <w:r w:rsidR="00CE0F7E">
        <w:t>/MOA</w:t>
      </w:r>
      <w:r w:rsidRPr="0076553A">
        <w:t xml:space="preserve">, </w:t>
      </w:r>
      <w:r w:rsidR="00CE0F7E">
        <w:t xml:space="preserve">it is recommended that </w:t>
      </w:r>
      <w:r w:rsidRPr="0076553A">
        <w:t xml:space="preserve">the parties consult with other internal and external partners that are critical in preventing and responding effectively to </w:t>
      </w:r>
      <w:r w:rsidR="00CE0F7E">
        <w:t>MMIP cases</w:t>
      </w:r>
      <w:r w:rsidRPr="0076553A">
        <w:t>, regardless of whether these partners ultimately become parties to the MOU</w:t>
      </w:r>
      <w:r w:rsidR="00CE0F7E">
        <w:t>/MOA</w:t>
      </w:r>
      <w:r w:rsidRPr="0076553A">
        <w:t>. These critical partners may include but are not limited to</w:t>
      </w:r>
      <w:r w:rsidR="002C742C">
        <w:t xml:space="preserve"> the following:</w:t>
      </w:r>
      <w:r w:rsidRPr="0076553A">
        <w:t xml:space="preserve"> other law enforcement agencies, prosecutors’ offices, and federal and </w:t>
      </w:r>
      <w:r w:rsidR="002C742C">
        <w:t>T</w:t>
      </w:r>
      <w:r w:rsidRPr="0076553A">
        <w:t>ribal agencies (where not a party to the MOU</w:t>
      </w:r>
      <w:r w:rsidR="00CE0F7E">
        <w:t>/MOA</w:t>
      </w:r>
      <w:r w:rsidRPr="0076553A">
        <w:t xml:space="preserve">); victim service offices; community organizations with expertise in </w:t>
      </w:r>
      <w:r w:rsidR="00CE0F7E">
        <w:t>MMIP</w:t>
      </w:r>
      <w:r w:rsidR="002C742C">
        <w:t>–</w:t>
      </w:r>
      <w:r w:rsidR="00CE0F7E">
        <w:t>related issues</w:t>
      </w:r>
      <w:r w:rsidR="00CE0F7E" w:rsidRPr="0076553A">
        <w:t>; social</w:t>
      </w:r>
      <w:r w:rsidRPr="0076553A">
        <w:t xml:space="preserve"> service agencies</w:t>
      </w:r>
      <w:r w:rsidR="00CE0F7E">
        <w:t xml:space="preserve"> (if appropriate)</w:t>
      </w:r>
      <w:r w:rsidRPr="0076553A">
        <w:t>; and other agencies that serve the public safety needs of the community. Consultation with these groups during the development of an MOU</w:t>
      </w:r>
      <w:r w:rsidR="00CE0F7E">
        <w:t>/MOA</w:t>
      </w:r>
      <w:r w:rsidRPr="0076553A">
        <w:t xml:space="preserve"> is important because </w:t>
      </w:r>
      <w:r w:rsidR="002C742C">
        <w:t xml:space="preserve">it allows </w:t>
      </w:r>
      <w:r w:rsidRPr="0076553A">
        <w:t xml:space="preserve">the parties </w:t>
      </w:r>
      <w:r w:rsidR="002C742C">
        <w:t xml:space="preserve">to </w:t>
      </w:r>
      <w:r w:rsidRPr="0076553A">
        <w:t>gain the insights of a broad spectrum of constituents and consider the concerns of these groups from the outset, even if not all of the input provided can be incorporated into the MOU</w:t>
      </w:r>
      <w:r w:rsidR="00CE0F7E">
        <w:t xml:space="preserve">/MOA. In addition, </w:t>
      </w:r>
      <w:r w:rsidR="002C742C">
        <w:t>T</w:t>
      </w:r>
      <w:r w:rsidR="00CE0F7E">
        <w:t>ribal or local law enforcement</w:t>
      </w:r>
      <w:r w:rsidRPr="0076553A">
        <w:t xml:space="preserve"> may wish to enter into separate agreements with some or all of these groups. </w:t>
      </w:r>
    </w:p>
    <w:p w14:paraId="7A3636A3" w14:textId="6C9EA71E" w:rsidR="0012662E" w:rsidRPr="00136FCE" w:rsidRDefault="00A72588" w:rsidP="002C742C">
      <w:pPr>
        <w:pStyle w:val="Heading2"/>
        <w:spacing w:before="240"/>
      </w:pPr>
      <w:r w:rsidRPr="005D55AD">
        <w:t>Sample</w:t>
      </w:r>
      <w:r w:rsidR="00107915" w:rsidRPr="005D55AD">
        <w:t xml:space="preserve"> </w:t>
      </w:r>
      <w:r w:rsidR="005D55AD" w:rsidRPr="005D55AD">
        <w:t xml:space="preserve">MOU/MOA </w:t>
      </w:r>
      <w:r w:rsidR="0012662E" w:rsidRPr="005D55AD">
        <w:t>MMIP</w:t>
      </w:r>
      <w:r w:rsidR="00107915" w:rsidRPr="005D55AD">
        <w:t xml:space="preserve"> </w:t>
      </w:r>
      <w:r w:rsidRPr="005D55AD">
        <w:t>Provisions</w:t>
      </w:r>
    </w:p>
    <w:p w14:paraId="47D97612" w14:textId="26DDD333" w:rsidR="0012662E" w:rsidRPr="00136FCE" w:rsidRDefault="00A72588" w:rsidP="00A72588">
      <w:pPr>
        <w:pStyle w:val="Heading3"/>
      </w:pPr>
      <w:r w:rsidRPr="0012662E">
        <w:t xml:space="preserve">Purpose </w:t>
      </w:r>
    </w:p>
    <w:p w14:paraId="3D4289F9" w14:textId="59201B74" w:rsidR="0012662E" w:rsidRDefault="00107915" w:rsidP="000252AB">
      <w:pPr>
        <w:pStyle w:val="BodyText"/>
        <w:rPr>
          <w:b/>
        </w:rPr>
      </w:pPr>
      <w:r w:rsidRPr="00107915">
        <w:t>To ensure a threshold shared understanding of intent, it is useful to memorialize the purpose of the MOU</w:t>
      </w:r>
      <w:r w:rsidR="004F5A18">
        <w:t>/MOA</w:t>
      </w:r>
      <w:r w:rsidRPr="00107915">
        <w:t>. For example</w:t>
      </w:r>
      <w:r w:rsidR="002C742C">
        <w:t>, consider the following language</w:t>
      </w:r>
      <w:r w:rsidRPr="00107915">
        <w:t xml:space="preserve">: </w:t>
      </w:r>
    </w:p>
    <w:p w14:paraId="5D0452E2" w14:textId="107E123E" w:rsidR="0012662E" w:rsidRDefault="004F5A18" w:rsidP="002C742C">
      <w:pPr>
        <w:pStyle w:val="BodyText"/>
        <w:ind w:left="720"/>
        <w:rPr>
          <w:b/>
        </w:rPr>
      </w:pPr>
      <w:r>
        <w:t xml:space="preserve">To enhance </w:t>
      </w:r>
      <w:r w:rsidR="00107915" w:rsidRPr="00107915">
        <w:t xml:space="preserve">safety and better serve the residents </w:t>
      </w:r>
      <w:r>
        <w:t>of our communities</w:t>
      </w:r>
      <w:r w:rsidR="00107915" w:rsidRPr="00107915">
        <w:t>, ensure that investigations are comprehensive, facilitat</w:t>
      </w:r>
      <w:r>
        <w:t>e the prosecution of offenders</w:t>
      </w:r>
      <w:r w:rsidR="00495851">
        <w:t>,</w:t>
      </w:r>
      <w:r>
        <w:t xml:space="preserve"> </w:t>
      </w:r>
      <w:r w:rsidR="00107915" w:rsidRPr="00107915">
        <w:t xml:space="preserve">and provide appropriate support to victims </w:t>
      </w:r>
      <w:r>
        <w:t xml:space="preserve">of </w:t>
      </w:r>
      <w:r w:rsidR="00495851">
        <w:t>Missing and Murdered Indigenous Person</w:t>
      </w:r>
      <w:r w:rsidR="00495851" w:rsidRPr="00495851">
        <w:t xml:space="preserve"> </w:t>
      </w:r>
      <w:r w:rsidR="00495851">
        <w:t xml:space="preserve">(MMIP) </w:t>
      </w:r>
      <w:r>
        <w:t>cases</w:t>
      </w:r>
      <w:r w:rsidR="00107915" w:rsidRPr="00107915">
        <w:t>, this Memorandum of Understanding</w:t>
      </w:r>
      <w:r>
        <w:t>/Memorandum of Agreement</w:t>
      </w:r>
      <w:r w:rsidR="00495851">
        <w:t xml:space="preserve"> (MOU/MOA)</w:t>
      </w:r>
      <w:r w:rsidR="00107915" w:rsidRPr="00107915">
        <w:t xml:space="preserve"> sets forth the respective roles and responsibilities of the Parties related to the prevention o</w:t>
      </w:r>
      <w:r>
        <w:t>f and response to MMIP cases</w:t>
      </w:r>
      <w:r w:rsidR="00107915" w:rsidRPr="00107915">
        <w:t>. The Parties acknowledge that the unique circumstances of individual cases may give rise to issues not addressed by this MOU</w:t>
      </w:r>
      <w:r>
        <w:t>/MOA</w:t>
      </w:r>
      <w:r w:rsidR="00107915" w:rsidRPr="00107915">
        <w:t xml:space="preserve">, which may necessitate further discussion and agreement. </w:t>
      </w:r>
    </w:p>
    <w:p w14:paraId="55D69775" w14:textId="256D7632" w:rsidR="0012662E" w:rsidRDefault="00107915" w:rsidP="002C742C">
      <w:pPr>
        <w:pStyle w:val="BodyText"/>
        <w:ind w:left="720"/>
        <w:rPr>
          <w:b/>
        </w:rPr>
      </w:pPr>
      <w:r w:rsidRPr="00107915">
        <w:t>This MOU</w:t>
      </w:r>
      <w:r w:rsidR="004F5A18">
        <w:t>/MOA</w:t>
      </w:r>
      <w:r w:rsidRPr="00107915">
        <w:t xml:space="preserve"> meets the requirements of [insert relevant </w:t>
      </w:r>
      <w:r w:rsidR="004F5A18">
        <w:t>tribal law/</w:t>
      </w:r>
      <w:r w:rsidRPr="00107915">
        <w:t xml:space="preserve">state statute regarding mutual aid here]. </w:t>
      </w:r>
    </w:p>
    <w:p w14:paraId="7492E008" w14:textId="10EF771B" w:rsidR="0012662E" w:rsidRPr="00136FCE" w:rsidRDefault="00A72588" w:rsidP="00A72588">
      <w:pPr>
        <w:pStyle w:val="Heading3"/>
      </w:pPr>
      <w:r w:rsidRPr="0012662E">
        <w:lastRenderedPageBreak/>
        <w:t xml:space="preserve">Communication </w:t>
      </w:r>
      <w:r>
        <w:t>a</w:t>
      </w:r>
      <w:r w:rsidRPr="0012662E">
        <w:t xml:space="preserve">nd </w:t>
      </w:r>
      <w:r>
        <w:t>c</w:t>
      </w:r>
      <w:r w:rsidRPr="0012662E">
        <w:t xml:space="preserve">oordination </w:t>
      </w:r>
    </w:p>
    <w:p w14:paraId="2285DF06" w14:textId="3345D966" w:rsidR="0012662E" w:rsidRDefault="00107915" w:rsidP="000252AB">
      <w:pPr>
        <w:pStyle w:val="BodyText"/>
        <w:rPr>
          <w:b/>
        </w:rPr>
      </w:pPr>
      <w:r w:rsidRPr="00107915">
        <w:t>Given the multiple entities that may need to resp</w:t>
      </w:r>
      <w:r w:rsidR="004F5A18">
        <w:t>ond to a reported MMIP case</w:t>
      </w:r>
      <w:r w:rsidRPr="00107915">
        <w:t>, and the differing responsibilities of each, effective communication and coordination is critical. In the MOU</w:t>
      </w:r>
      <w:r w:rsidR="004F5A18">
        <w:t>/MOA</w:t>
      </w:r>
      <w:r w:rsidRPr="00107915">
        <w:t>, the Parties should identify the specific individuals in each agency with responsibility for overseeing the MOU</w:t>
      </w:r>
      <w:r w:rsidR="004F5A18">
        <w:t>/MOA</w:t>
      </w:r>
      <w:r w:rsidRPr="00107915">
        <w:t>’s provisions. In addition, law enforcement agencies’ communication wit</w:t>
      </w:r>
      <w:r w:rsidR="00873079">
        <w:t>h MMIP</w:t>
      </w:r>
      <w:r w:rsidRPr="00107915">
        <w:t xml:space="preserve"> victims and their families is an important part of a trauma-informed response to </w:t>
      </w:r>
      <w:r w:rsidR="00873079">
        <w:t xml:space="preserve">MMIP cases. </w:t>
      </w:r>
      <w:r w:rsidRPr="00107915">
        <w:t xml:space="preserve">The following provisions exemplify elements of an effective communication and coordination system. The Parties must comply with applicable confidentiality and privacy laws and obligations, consistent with federal civil rights requirements. </w:t>
      </w:r>
    </w:p>
    <w:p w14:paraId="473237B1" w14:textId="48C6E25C" w:rsidR="0012662E" w:rsidRDefault="00107915" w:rsidP="00495851">
      <w:pPr>
        <w:pStyle w:val="ListNumber"/>
        <w:rPr>
          <w:b/>
        </w:rPr>
      </w:pPr>
      <w:r w:rsidRPr="00107915">
        <w:t xml:space="preserve">The Parties will keep each other informed about current trends and patterns in </w:t>
      </w:r>
      <w:r w:rsidR="00873079">
        <w:t>MMIP cases</w:t>
      </w:r>
      <w:r w:rsidRPr="00107915">
        <w:t xml:space="preserve"> by sharing data and analysis. The Parties will meet regularly to share this information. </w:t>
      </w:r>
    </w:p>
    <w:p w14:paraId="53CA98B0" w14:textId="428E7074" w:rsidR="0012662E" w:rsidRDefault="00107915" w:rsidP="00495851">
      <w:pPr>
        <w:pStyle w:val="ListNumber"/>
        <w:rPr>
          <w:b/>
        </w:rPr>
      </w:pPr>
      <w:r w:rsidRPr="00107915">
        <w:t>The Parties agree to coordinate the sharing of information about crimes that may pose a serious threat</w:t>
      </w:r>
      <w:r w:rsidR="00873079">
        <w:t xml:space="preserve"> to the health or safety of their </w:t>
      </w:r>
      <w:r w:rsidRPr="00107915">
        <w:t xml:space="preserve">communities to facilitate </w:t>
      </w:r>
      <w:r w:rsidR="00873079">
        <w:t xml:space="preserve">a quick and </w:t>
      </w:r>
      <w:r w:rsidR="00495851">
        <w:t>e</w:t>
      </w:r>
      <w:r w:rsidR="00873079">
        <w:t xml:space="preserve">ffective response to MMIP and similar cases. </w:t>
      </w:r>
    </w:p>
    <w:p w14:paraId="0FF8A7A8" w14:textId="0A949F72" w:rsidR="0012662E" w:rsidRDefault="00107915" w:rsidP="00495851">
      <w:pPr>
        <w:pStyle w:val="ListNumber"/>
        <w:rPr>
          <w:b/>
        </w:rPr>
      </w:pPr>
      <w:r w:rsidRPr="00107915">
        <w:t>The Parties agree to implement communication and information technology infrastructure to promote interoperability of, among other things, public safety radio and recordkeeping systems</w:t>
      </w:r>
      <w:r w:rsidR="00495851">
        <w:t>;</w:t>
      </w:r>
      <w:r w:rsidRPr="00107915">
        <w:t xml:space="preserve"> </w:t>
      </w:r>
      <w:r w:rsidR="00495851">
        <w:t xml:space="preserve">to facilitate </w:t>
      </w:r>
      <w:r w:rsidRPr="00107915">
        <w:t>access to time-sensitive information</w:t>
      </w:r>
      <w:r w:rsidR="00495851">
        <w:t>;</w:t>
      </w:r>
      <w:r w:rsidRPr="00107915">
        <w:t xml:space="preserve"> and to coordinate operations to the extent permitted by law. As part of this infrastructure, the Parties agree to develop a plan for a timely response to all emergency calls for service within the jurisdictions covered by this MOU</w:t>
      </w:r>
      <w:r w:rsidR="00873079">
        <w:t>/MOA</w:t>
      </w:r>
      <w:r w:rsidRPr="00107915">
        <w:t xml:space="preserve">. </w:t>
      </w:r>
    </w:p>
    <w:p w14:paraId="4F1E7B16" w14:textId="20890CB9" w:rsidR="0012662E" w:rsidRDefault="00107915" w:rsidP="00495851">
      <w:pPr>
        <w:pStyle w:val="ListNumber"/>
        <w:rPr>
          <w:b/>
        </w:rPr>
      </w:pPr>
      <w:r w:rsidRPr="00107915">
        <w:t>The Parties agree to provide each other with basic temporary workspace as needed for report-writing, interviews, and other basic operational purposes in furtherance of this MOU</w:t>
      </w:r>
      <w:r w:rsidR="00873079">
        <w:t>/MOA</w:t>
      </w:r>
      <w:r w:rsidRPr="00107915">
        <w:t xml:space="preserve">. </w:t>
      </w:r>
    </w:p>
    <w:p w14:paraId="3A683F80" w14:textId="5CE4E63E" w:rsidR="0012662E" w:rsidRDefault="00840876" w:rsidP="00495851">
      <w:pPr>
        <w:pStyle w:val="ListNumber"/>
        <w:rPr>
          <w:b/>
        </w:rPr>
      </w:pPr>
      <w:r>
        <w:t xml:space="preserve">For the purpose of </w:t>
      </w:r>
      <w:r w:rsidR="00107915" w:rsidRPr="00107915">
        <w:t>clarify</w:t>
      </w:r>
      <w:r>
        <w:t>ing jurisdictional boundaries and sovereign lands, up</w:t>
      </w:r>
      <w:r w:rsidR="00495851">
        <w:t>-</w:t>
      </w:r>
      <w:r>
        <w:t>to</w:t>
      </w:r>
      <w:r w:rsidR="00495851">
        <w:t>-</w:t>
      </w:r>
      <w:r>
        <w:t xml:space="preserve">date maps will be shared with all parties to this MOU/MOA. </w:t>
      </w:r>
    </w:p>
    <w:p w14:paraId="088E8E32" w14:textId="02B594F6" w:rsidR="00D13F3A" w:rsidRDefault="00D13F3A" w:rsidP="00495851">
      <w:pPr>
        <w:pStyle w:val="ListNumber"/>
        <w:rPr>
          <w:b/>
        </w:rPr>
      </w:pPr>
      <w:r>
        <w:t>As soon as practicable, the Parties to this MOU/MOA will notify one another of</w:t>
      </w:r>
      <w:r w:rsidR="00495851">
        <w:t xml:space="preserve"> any</w:t>
      </w:r>
      <w:r>
        <w:t xml:space="preserve"> MMIP or similar case which may impact either Party or trigger any provision of this MOU/MOA. </w:t>
      </w:r>
    </w:p>
    <w:p w14:paraId="5C928D12" w14:textId="2802BF73" w:rsidR="00A574AB" w:rsidRDefault="0012662E" w:rsidP="00495851">
      <w:pPr>
        <w:pStyle w:val="ListNumber"/>
        <w:rPr>
          <w:b/>
        </w:rPr>
      </w:pPr>
      <w:r w:rsidRPr="0012662E">
        <w:t xml:space="preserve">The Parties agree to work with internal and external individuals and organizations with expertise in </w:t>
      </w:r>
      <w:r w:rsidR="00D13F3A">
        <w:t xml:space="preserve">MMIP or similar case </w:t>
      </w:r>
      <w:r w:rsidRPr="0012662E">
        <w:t>prevention and response efforts within their respective jurisdictions, and to hold at least annual meetings to address the effectiveness of their prevention and response policies, procedures</w:t>
      </w:r>
      <w:r w:rsidR="00A72588">
        <w:t>,</w:t>
      </w:r>
      <w:r w:rsidRPr="0012662E">
        <w:t xml:space="preserve"> and efforts</w:t>
      </w:r>
      <w:r>
        <w:t>.</w:t>
      </w:r>
    </w:p>
    <w:p w14:paraId="571F78F4" w14:textId="58342AB7" w:rsidR="00676AE0" w:rsidRPr="00136FCE" w:rsidRDefault="00330AC3" w:rsidP="00495851">
      <w:pPr>
        <w:pStyle w:val="Heading3"/>
      </w:pPr>
      <w:r>
        <w:t>MMIP</w:t>
      </w:r>
      <w:r w:rsidR="00D13F3A" w:rsidRPr="00676AE0">
        <w:t xml:space="preserve"> </w:t>
      </w:r>
      <w:r w:rsidR="00A72588" w:rsidRPr="00676AE0">
        <w:t xml:space="preserve">prevention </w:t>
      </w:r>
    </w:p>
    <w:p w14:paraId="00ED4E64" w14:textId="5EDE1BBE" w:rsidR="00676AE0" w:rsidRDefault="00495851" w:rsidP="000252AB">
      <w:pPr>
        <w:pStyle w:val="BodyText"/>
        <w:rPr>
          <w:b/>
        </w:rPr>
      </w:pPr>
      <w:r>
        <w:t xml:space="preserve">Following </w:t>
      </w:r>
      <w:r w:rsidR="00D13F3A" w:rsidRPr="00676AE0">
        <w:t>are measures the Parties should consider including in the MOU</w:t>
      </w:r>
      <w:r w:rsidR="00676AE0">
        <w:t>/MOA</w:t>
      </w:r>
      <w:r w:rsidR="00D13F3A" w:rsidRPr="00676AE0">
        <w:t xml:space="preserve"> to assist in </w:t>
      </w:r>
      <w:r w:rsidR="00676AE0">
        <w:t>the prevention of MMIP and similar cases</w:t>
      </w:r>
      <w:r w:rsidR="00D13F3A" w:rsidRPr="00676AE0">
        <w:t>. Many of these provisions are generalized in the context of this sample MOU</w:t>
      </w:r>
      <w:r w:rsidR="00676AE0">
        <w:t>/MOA</w:t>
      </w:r>
      <w:r w:rsidR="00D13F3A" w:rsidRPr="00676AE0">
        <w:t>, but many can and should be more specific in an actual MOU</w:t>
      </w:r>
      <w:r w:rsidR="00676AE0">
        <w:t>/MOA</w:t>
      </w:r>
      <w:r w:rsidR="00D13F3A" w:rsidRPr="00676AE0">
        <w:t xml:space="preserve">. </w:t>
      </w:r>
    </w:p>
    <w:p w14:paraId="2C0EA4B0" w14:textId="44D18A46" w:rsidR="00D13F3A" w:rsidRPr="00FF2178" w:rsidRDefault="00D13F3A" w:rsidP="00FF2178">
      <w:pPr>
        <w:pStyle w:val="ListNumber"/>
        <w:numPr>
          <w:ilvl w:val="0"/>
          <w:numId w:val="23"/>
        </w:numPr>
        <w:rPr>
          <w:b/>
        </w:rPr>
      </w:pPr>
      <w:r w:rsidRPr="00676AE0">
        <w:t xml:space="preserve">The Parties will cooperate in the development and implementation of </w:t>
      </w:r>
      <w:r w:rsidR="00676AE0">
        <w:t xml:space="preserve">MMIP </w:t>
      </w:r>
      <w:r w:rsidRPr="00676AE0">
        <w:t>prevention programs and will share relevant crime data in furtherance of crime prevention goals. The local law enforcement agency will include representatives from relevant stakeholder organizations in all regularly</w:t>
      </w:r>
      <w:r w:rsidR="00A72588">
        <w:t xml:space="preserve"> </w:t>
      </w:r>
      <w:r w:rsidRPr="00676AE0">
        <w:t>scheduled meetings regarding crime-trend data analysis, threat assessment,</w:t>
      </w:r>
      <w:r w:rsidR="00FF2178">
        <w:t xml:space="preserve"> </w:t>
      </w:r>
      <w:r w:rsidRPr="00676AE0">
        <w:t xml:space="preserve">or other issues affecting the allocation and deployment of public safety resources related to </w:t>
      </w:r>
      <w:r w:rsidR="00676AE0">
        <w:t xml:space="preserve">MMIP </w:t>
      </w:r>
      <w:r w:rsidR="00676AE0">
        <w:lastRenderedPageBreak/>
        <w:t xml:space="preserve">or similar cases. </w:t>
      </w:r>
      <w:r w:rsidRPr="00676AE0">
        <w:t>Relevant stakeholder groups may include, for example</w:t>
      </w:r>
      <w:r w:rsidR="00FF2178">
        <w:t>,</w:t>
      </w:r>
      <w:r w:rsidRPr="00676AE0">
        <w:t xml:space="preserve"> law enforcement agencies (</w:t>
      </w:r>
      <w:r w:rsidR="00FF2178">
        <w:t>T</w:t>
      </w:r>
      <w:r w:rsidR="00676AE0">
        <w:t xml:space="preserve">ribal, </w:t>
      </w:r>
      <w:r w:rsidRPr="00676AE0">
        <w:t xml:space="preserve">federal, state, and local), municipal agencies, </w:t>
      </w:r>
      <w:r w:rsidR="00676AE0">
        <w:t>state</w:t>
      </w:r>
      <w:r w:rsidR="00FF2178">
        <w:t xml:space="preserve"> or </w:t>
      </w:r>
      <w:r w:rsidR="00676AE0">
        <w:t>local prosecutor</w:t>
      </w:r>
      <w:r w:rsidR="00FF2178">
        <w:t>’s</w:t>
      </w:r>
      <w:r w:rsidR="00676AE0">
        <w:t xml:space="preserve"> offices</w:t>
      </w:r>
      <w:r w:rsidR="00FF2178">
        <w:t>,</w:t>
      </w:r>
      <w:r w:rsidR="00676AE0">
        <w:t xml:space="preserve"> and </w:t>
      </w:r>
      <w:r w:rsidRPr="00676AE0">
        <w:t>victim support services</w:t>
      </w:r>
      <w:r w:rsidR="00676AE0">
        <w:t xml:space="preserve">. </w:t>
      </w:r>
    </w:p>
    <w:p w14:paraId="0A9D4DA0" w14:textId="1822DBB1" w:rsidR="00676AE0" w:rsidRDefault="00D13F3A" w:rsidP="00FF2178">
      <w:pPr>
        <w:pStyle w:val="ListNumber"/>
        <w:rPr>
          <w:b/>
        </w:rPr>
      </w:pPr>
      <w:r w:rsidRPr="00676AE0">
        <w:t>The Parties agree to develop, implement</w:t>
      </w:r>
      <w:r w:rsidR="00FF2178">
        <w:t>,</w:t>
      </w:r>
      <w:r w:rsidRPr="00676AE0">
        <w:t xml:space="preserve"> and measure the effectiveness of research</w:t>
      </w:r>
      <w:r w:rsidR="00676AE0">
        <w:t xml:space="preserve"> </w:t>
      </w:r>
      <w:r w:rsidRPr="00676AE0">
        <w:t xml:space="preserve">informed strategies to prevent </w:t>
      </w:r>
      <w:r w:rsidR="00676AE0">
        <w:t>MMIP and similar crimes</w:t>
      </w:r>
      <w:r w:rsidRPr="00676AE0">
        <w:t>, including those directed at reducing the use, possession</w:t>
      </w:r>
      <w:r w:rsidR="00FF2178">
        <w:t>,</w:t>
      </w:r>
      <w:r w:rsidRPr="00676AE0">
        <w:t xml:space="preserve"> and distribution of drugs and alcohol</w:t>
      </w:r>
      <w:r w:rsidR="00FF2178">
        <w:t>,</w:t>
      </w:r>
      <w:r w:rsidRPr="00676AE0">
        <w:t xml:space="preserve"> to facilitate </w:t>
      </w:r>
      <w:r w:rsidR="00676AE0">
        <w:t xml:space="preserve">MMIP and similar cases. </w:t>
      </w:r>
    </w:p>
    <w:p w14:paraId="51432D5A" w14:textId="1E0A96EE" w:rsidR="00676AE0" w:rsidRDefault="00D13F3A" w:rsidP="00FF2178">
      <w:pPr>
        <w:pStyle w:val="ListNumber"/>
        <w:rPr>
          <w:b/>
        </w:rPr>
      </w:pPr>
      <w:r w:rsidRPr="00676AE0">
        <w:t>The Parties agree to engage in outreach and collaborate with the</w:t>
      </w:r>
      <w:r w:rsidR="00676AE0">
        <w:t>ir</w:t>
      </w:r>
      <w:r w:rsidRPr="00676AE0">
        <w:t xml:space="preserve"> </w:t>
      </w:r>
      <w:r w:rsidR="00676AE0">
        <w:t>communities</w:t>
      </w:r>
      <w:r w:rsidRPr="00676AE0">
        <w:t xml:space="preserve"> to promote positive working relationships between law enforcement and </w:t>
      </w:r>
      <w:r w:rsidR="00676AE0">
        <w:t>o</w:t>
      </w:r>
      <w:r w:rsidRPr="00676AE0">
        <w:t xml:space="preserve">ther stakeholders. Outreach may include information made available online through </w:t>
      </w:r>
      <w:r w:rsidR="00676AE0">
        <w:t xml:space="preserve">agency </w:t>
      </w:r>
      <w:r w:rsidRPr="00676AE0">
        <w:t>website</w:t>
      </w:r>
      <w:r w:rsidR="00676AE0">
        <w:t>s</w:t>
      </w:r>
      <w:r w:rsidRPr="00676AE0">
        <w:t xml:space="preserve"> or social media </w:t>
      </w:r>
      <w:r w:rsidR="00330AC3">
        <w:t>and other community-based events and publications.</w:t>
      </w:r>
    </w:p>
    <w:p w14:paraId="57877442" w14:textId="627DFF4A" w:rsidR="00330AC3" w:rsidRDefault="00D13F3A" w:rsidP="00FF2178">
      <w:pPr>
        <w:pStyle w:val="ListNumber"/>
        <w:rPr>
          <w:b/>
        </w:rPr>
      </w:pPr>
      <w:r w:rsidRPr="00676AE0">
        <w:t>The Parties agree to implement community and problem-oriented policing programs and community outreach efforts</w:t>
      </w:r>
      <w:r w:rsidR="00FF2178">
        <w:t>,</w:t>
      </w:r>
      <w:r w:rsidRPr="00676AE0">
        <w:t xml:space="preserve"> to include residents and members of the business community with spe</w:t>
      </w:r>
      <w:r w:rsidR="000252AB">
        <w:t>c</w:t>
      </w:r>
      <w:r w:rsidRPr="00676AE0">
        <w:t xml:space="preserve">ial attention to responsible corporate citizenship </w:t>
      </w:r>
      <w:r w:rsidR="00330AC3">
        <w:t xml:space="preserve">of businesses that sell alcohol or </w:t>
      </w:r>
      <w:r w:rsidR="00A72588">
        <w:t>c</w:t>
      </w:r>
      <w:r w:rsidR="00330AC3">
        <w:t xml:space="preserve">annabis. </w:t>
      </w:r>
      <w:r w:rsidRPr="00676AE0">
        <w:t xml:space="preserve"> </w:t>
      </w:r>
    </w:p>
    <w:p w14:paraId="17E84732" w14:textId="05CC3A54" w:rsidR="00330AC3" w:rsidRPr="000252AB" w:rsidRDefault="00A72588" w:rsidP="00A72588">
      <w:pPr>
        <w:pStyle w:val="Heading3"/>
      </w:pPr>
      <w:r w:rsidRPr="00330AC3">
        <w:t>Res</w:t>
      </w:r>
      <w:r>
        <w:t xml:space="preserve">ponse to reported </w:t>
      </w:r>
      <w:r w:rsidR="005D55AD">
        <w:t>MMIP</w:t>
      </w:r>
      <w:r w:rsidR="00330AC3">
        <w:t xml:space="preserve"> </w:t>
      </w:r>
      <w:r>
        <w:t>cases</w:t>
      </w:r>
      <w:r w:rsidRPr="00330AC3">
        <w:t xml:space="preserve"> </w:t>
      </w:r>
    </w:p>
    <w:p w14:paraId="2E3B0958" w14:textId="754F7273" w:rsidR="00330AC3" w:rsidRDefault="00330AC3" w:rsidP="000252AB">
      <w:pPr>
        <w:pStyle w:val="BodyText"/>
        <w:rPr>
          <w:b/>
        </w:rPr>
      </w:pPr>
      <w:r w:rsidRPr="00330AC3">
        <w:t>Sensitive</w:t>
      </w:r>
      <w:r w:rsidR="007014D2">
        <w:t xml:space="preserve"> treatment of the reporting</w:t>
      </w:r>
      <w:r w:rsidRPr="00330AC3">
        <w:t xml:space="preserve"> victim,</w:t>
      </w:r>
      <w:r w:rsidR="007014D2">
        <w:t xml:space="preserve"> family member</w:t>
      </w:r>
      <w:r w:rsidR="00FF2178">
        <w:t>,</w:t>
      </w:r>
      <w:r w:rsidR="007014D2">
        <w:t xml:space="preserve"> or friend</w:t>
      </w:r>
      <w:r w:rsidR="00FF2178">
        <w:t>;</w:t>
      </w:r>
      <w:r w:rsidRPr="00330AC3">
        <w:t xml:space="preserve"> fair treatment of the alleged offender</w:t>
      </w:r>
      <w:r w:rsidR="00FF2178">
        <w:t>;</w:t>
      </w:r>
      <w:r w:rsidRPr="00330AC3">
        <w:t xml:space="preserve"> and a well-coordinated, thorough, and unbiased investigation of the crime are all critical elements of an effe</w:t>
      </w:r>
      <w:r w:rsidR="007014D2">
        <w:t xml:space="preserve">ctive response to MMIP or similar cases. </w:t>
      </w:r>
      <w:r w:rsidR="00FF2178">
        <w:t xml:space="preserve">Following </w:t>
      </w:r>
      <w:r w:rsidRPr="00330AC3">
        <w:t>are key measures that the Parties should consider in developing their policies and procedures for respon</w:t>
      </w:r>
      <w:r w:rsidR="007014D2">
        <w:t>ding to reported MMIP cases</w:t>
      </w:r>
      <w:r w:rsidRPr="00330AC3">
        <w:t>. To ensure clarity about each Party’s responsibilities under the MOU</w:t>
      </w:r>
      <w:r w:rsidR="007014D2">
        <w:t>/MOA</w:t>
      </w:r>
      <w:r w:rsidRPr="00330AC3">
        <w:t>, the following provisions in an actual MOU</w:t>
      </w:r>
      <w:r w:rsidR="007014D2">
        <w:t>/MOA</w:t>
      </w:r>
      <w:r w:rsidRPr="00330AC3">
        <w:t xml:space="preserve"> would be more specific than is possible to set out here. For example, the MOU</w:t>
      </w:r>
      <w:r w:rsidR="007014D2">
        <w:t>/MOA</w:t>
      </w:r>
      <w:r w:rsidRPr="00330AC3">
        <w:t xml:space="preserve"> should specify which law enforcement agency </w:t>
      </w:r>
      <w:r w:rsidR="007014D2">
        <w:t xml:space="preserve">has jurisdiction and </w:t>
      </w:r>
      <w:r w:rsidRPr="00330AC3">
        <w:t xml:space="preserve">will </w:t>
      </w:r>
      <w:r w:rsidR="007014D2">
        <w:t xml:space="preserve">take the lead in </w:t>
      </w:r>
      <w:r w:rsidRPr="00330AC3">
        <w:t>conduct</w:t>
      </w:r>
      <w:r w:rsidR="007014D2">
        <w:t>ing</w:t>
      </w:r>
      <w:r w:rsidRPr="00330AC3">
        <w:t xml:space="preserve"> the i</w:t>
      </w:r>
      <w:r w:rsidR="007014D2">
        <w:t>nvestigation of a MMIP case</w:t>
      </w:r>
      <w:r w:rsidRPr="00330AC3">
        <w:t xml:space="preserve"> occurring at a particular location. The Parties must comply with all confidentiality and privacy laws and obligations. </w:t>
      </w:r>
    </w:p>
    <w:p w14:paraId="6A6927B2" w14:textId="7D6C7A0D" w:rsidR="007014D2" w:rsidRPr="00FF2178" w:rsidRDefault="00330AC3" w:rsidP="00FF2178">
      <w:pPr>
        <w:pStyle w:val="ListNumber"/>
        <w:numPr>
          <w:ilvl w:val="0"/>
          <w:numId w:val="24"/>
        </w:numPr>
        <w:rPr>
          <w:b/>
        </w:rPr>
      </w:pPr>
      <w:r w:rsidRPr="00330AC3">
        <w:t xml:space="preserve">The Parties agree that </w:t>
      </w:r>
      <w:r w:rsidR="00FF2178">
        <w:t>the T</w:t>
      </w:r>
      <w:r w:rsidR="007014D2">
        <w:t xml:space="preserve">ribal </w:t>
      </w:r>
      <w:r w:rsidRPr="00330AC3">
        <w:t xml:space="preserve">law enforcement agency and </w:t>
      </w:r>
      <w:r w:rsidR="007014D2">
        <w:t xml:space="preserve">local law enforcement </w:t>
      </w:r>
      <w:r w:rsidRPr="00330AC3">
        <w:t>may request assistance from, and render assistance to, the other to respond to or inves</w:t>
      </w:r>
      <w:r w:rsidR="007014D2">
        <w:t>tigate reports of MMIP or similar cases</w:t>
      </w:r>
      <w:r w:rsidRPr="00330AC3">
        <w:t>. The Parties will develop policies and procedures that</w:t>
      </w:r>
      <w:r w:rsidR="007014D2">
        <w:t xml:space="preserve"> set out the jurisdiction of tribal and local law enforcement agencies</w:t>
      </w:r>
      <w:r w:rsidRPr="00330AC3">
        <w:t xml:space="preserve"> and provide for cross- or multi-jurisdictional response or investigation as appropriate. These policies and procedures will provide for coordination of the response to reports of </w:t>
      </w:r>
      <w:r w:rsidR="003C5CB2">
        <w:t xml:space="preserve">MMIP or similar cases </w:t>
      </w:r>
      <w:r w:rsidRPr="00330AC3">
        <w:t>by clarifying roles and responsibilities based on criteria such as location</w:t>
      </w:r>
      <w:r w:rsidR="003C5CB2">
        <w:t>/jurisdiction</w:t>
      </w:r>
      <w:r w:rsidRPr="00330AC3">
        <w:t xml:space="preserve"> and type of incident (e.g., </w:t>
      </w:r>
      <w:r w:rsidR="003C5CB2">
        <w:t>missing person or apparent</w:t>
      </w:r>
      <w:r w:rsidRPr="00330AC3">
        <w:t xml:space="preserve"> felony</w:t>
      </w:r>
      <w:r w:rsidR="003C5CB2">
        <w:t xml:space="preserve"> crime</w:t>
      </w:r>
      <w:r w:rsidRPr="00330AC3">
        <w:t xml:space="preserve">), </w:t>
      </w:r>
      <w:r w:rsidR="003C5CB2">
        <w:t>and</w:t>
      </w:r>
      <w:r w:rsidR="00FF2178">
        <w:t xml:space="preserve"> on</w:t>
      </w:r>
      <w:r w:rsidR="003C5CB2">
        <w:t xml:space="preserve"> whether multiple tribal/non-tribal members</w:t>
      </w:r>
      <w:r w:rsidRPr="00330AC3">
        <w:t xml:space="preserve"> may be involved (e.g., </w:t>
      </w:r>
      <w:r w:rsidR="003C5CB2">
        <w:t>alleged perpetrator tribal member, victim non-tribal or vi</w:t>
      </w:r>
      <w:r w:rsidR="00FF2178">
        <w:t>c</w:t>
      </w:r>
      <w:r w:rsidR="003C5CB2">
        <w:t>e versa</w:t>
      </w:r>
      <w:r w:rsidRPr="00330AC3">
        <w:t xml:space="preserve">). The policies and procedures will address the types of incidents in which concurrent jurisdiction </w:t>
      </w:r>
      <w:r w:rsidRPr="00FF2178">
        <w:rPr>
          <w:u w:val="single"/>
        </w:rPr>
        <w:t>may</w:t>
      </w:r>
      <w:r w:rsidRPr="00330AC3">
        <w:t xml:space="preserve"> be appropriate. </w:t>
      </w:r>
    </w:p>
    <w:p w14:paraId="21B405C2" w14:textId="5B6B556F" w:rsidR="007014D2" w:rsidRDefault="00330AC3" w:rsidP="00FF2178">
      <w:pPr>
        <w:pStyle w:val="ListNumber"/>
        <w:rPr>
          <w:b/>
        </w:rPr>
      </w:pPr>
      <w:r w:rsidRPr="00330AC3">
        <w:t xml:space="preserve">The Parties agree to develop policies and procedures regarding when a report of </w:t>
      </w:r>
      <w:r w:rsidR="003C5CB2">
        <w:t xml:space="preserve">MMIP or similar case </w:t>
      </w:r>
      <w:r w:rsidRPr="00330AC3">
        <w:t xml:space="preserve">can be shared between the </w:t>
      </w:r>
      <w:r w:rsidR="003C5CB2">
        <w:t xml:space="preserve">tribal law enforcement agency </w:t>
      </w:r>
      <w:r w:rsidRPr="00330AC3">
        <w:t>and the local law enforcement agency</w:t>
      </w:r>
      <w:r w:rsidR="003C5CB2">
        <w:t xml:space="preserve">. </w:t>
      </w:r>
      <w:r w:rsidRPr="00330AC3">
        <w:t xml:space="preserve">The victim’s interest in maintaining the confidentiality of personally identifying information will be respected. The Parties will identify the rare and exigent circumstances when personally identifying information will be shared without the victim’s consent. </w:t>
      </w:r>
    </w:p>
    <w:p w14:paraId="456B62E6" w14:textId="2094C03E" w:rsidR="007014D2" w:rsidRDefault="00330AC3" w:rsidP="00FF2178">
      <w:pPr>
        <w:pStyle w:val="ListNumber"/>
        <w:rPr>
          <w:b/>
        </w:rPr>
      </w:pPr>
      <w:r w:rsidRPr="00330AC3">
        <w:lastRenderedPageBreak/>
        <w:t xml:space="preserve">The Parties recognize that regardless of which agency ultimately takes the lead investigative role in responding to a </w:t>
      </w:r>
      <w:r w:rsidR="00962D73">
        <w:t>MMIP case</w:t>
      </w:r>
      <w:r w:rsidRPr="00330AC3">
        <w:t xml:space="preserve">, the other Party may be the first responder to </w:t>
      </w:r>
      <w:r w:rsidR="00962D73">
        <w:t>the report</w:t>
      </w:r>
      <w:r w:rsidRPr="00330AC3">
        <w:t>. Thus each of the Parties has a responsibility to respond in a manner that facilitates an effective law enforcement response, as well as appropriate treatment of the individ</w:t>
      </w:r>
      <w:r w:rsidR="00962D73">
        <w:t>ual reporting the incident</w:t>
      </w:r>
      <w:r w:rsidRPr="00330AC3">
        <w:t xml:space="preserve">. This includes ensuring the appropriate preservation of evidence. </w:t>
      </w:r>
    </w:p>
    <w:p w14:paraId="68C58A4F" w14:textId="4638C9FA" w:rsidR="00962D73" w:rsidRDefault="00330AC3" w:rsidP="00FF2178">
      <w:pPr>
        <w:pStyle w:val="ListNumber"/>
        <w:rPr>
          <w:b/>
        </w:rPr>
      </w:pPr>
      <w:r w:rsidRPr="00330AC3">
        <w:t xml:space="preserve">To ensure that proficient investigations are conducted, the Parties agree that all or part of a </w:t>
      </w:r>
      <w:r w:rsidR="00962D73">
        <w:t xml:space="preserve">MMIP </w:t>
      </w:r>
      <w:r w:rsidRPr="00330AC3">
        <w:t xml:space="preserve">criminal case may be transferred to another agency (e.g., an agency </w:t>
      </w:r>
      <w:r w:rsidR="00962D73">
        <w:t xml:space="preserve">with overriding jurisdiction for such cases such as the FBI or BIA or another agency </w:t>
      </w:r>
      <w:r w:rsidRPr="00330AC3">
        <w:t>covered by this MOU</w:t>
      </w:r>
      <w:r w:rsidR="00962D73">
        <w:t>/MOA)</w:t>
      </w:r>
      <w:r w:rsidRPr="00330AC3">
        <w:t xml:space="preserve"> if it is agreed that another agency has significantly more experience, training</w:t>
      </w:r>
      <w:r w:rsidR="006F3E45">
        <w:t>,</w:t>
      </w:r>
      <w:r w:rsidRPr="00330AC3">
        <w:t xml:space="preserve"> and available resources to effec</w:t>
      </w:r>
      <w:r w:rsidR="00962D73">
        <w:t>tively investigate such cases</w:t>
      </w:r>
      <w:r w:rsidRPr="00330AC3">
        <w:t xml:space="preserve">. </w:t>
      </w:r>
    </w:p>
    <w:p w14:paraId="2FE6AAC5" w14:textId="704FD943" w:rsidR="007014D2" w:rsidRDefault="00330AC3" w:rsidP="00FF2178">
      <w:pPr>
        <w:pStyle w:val="ListNumber"/>
        <w:rPr>
          <w:b/>
        </w:rPr>
      </w:pPr>
      <w:r w:rsidRPr="00330AC3">
        <w:t>The Parties agree to use the expertise and resources of the cooperating agencies to ensure timely and proper evidence collection, maintenance</w:t>
      </w:r>
      <w:r w:rsidR="006F3E45">
        <w:t>,</w:t>
      </w:r>
      <w:r w:rsidRPr="00330AC3">
        <w:t xml:space="preserve"> and preservation. The Parties agree to preserve evidence, regardless of whether the investigation is carried out by </w:t>
      </w:r>
      <w:r w:rsidR="006F3E45">
        <w:t>T</w:t>
      </w:r>
      <w:r w:rsidR="00813C9C">
        <w:t>ribal, federal</w:t>
      </w:r>
      <w:r w:rsidR="006F3E45">
        <w:t>,</w:t>
      </w:r>
      <w:r w:rsidR="00813C9C">
        <w:t xml:space="preserve"> or </w:t>
      </w:r>
      <w:r w:rsidRPr="00330AC3">
        <w:t>local law enforcement</w:t>
      </w:r>
      <w:r w:rsidR="00813C9C">
        <w:t xml:space="preserve">. </w:t>
      </w:r>
    </w:p>
    <w:p w14:paraId="7CAF18B3" w14:textId="1CD37B35" w:rsidR="00813C9C" w:rsidRDefault="00330AC3" w:rsidP="00FF2178">
      <w:pPr>
        <w:pStyle w:val="ListNumber"/>
        <w:rPr>
          <w:b/>
        </w:rPr>
      </w:pPr>
      <w:r w:rsidRPr="00330AC3">
        <w:t xml:space="preserve">The Parties agree that any law enforcement officer or responding individual will not make statements or act in any manner that directly or indirectly discourages the victim from pursuing criminal charges </w:t>
      </w:r>
      <w:r w:rsidR="00813C9C">
        <w:t xml:space="preserve">or a witness from making a statement </w:t>
      </w:r>
      <w:r w:rsidRPr="00330AC3">
        <w:t xml:space="preserve">at the time that the officer responds to an incident or during the initial interview, such as by stating that it is likely that the prosecutor would not seek an indictment or that a jury would not convict. </w:t>
      </w:r>
    </w:p>
    <w:p w14:paraId="708A90C9" w14:textId="3DA035B2" w:rsidR="00813C9C" w:rsidRDefault="00330AC3" w:rsidP="00FF2178">
      <w:pPr>
        <w:pStyle w:val="ListNumber"/>
        <w:rPr>
          <w:b/>
        </w:rPr>
      </w:pPr>
      <w:r w:rsidRPr="00330AC3">
        <w:t xml:space="preserve">The Parties agree to share resources to ensure adequate and appropriately designed facilities are made available to conduct interviews of victims and witnesses in incidents of </w:t>
      </w:r>
      <w:r w:rsidR="00813C9C">
        <w:t>MMIP or similar cases</w:t>
      </w:r>
      <w:r w:rsidRPr="00330AC3">
        <w:t xml:space="preserve">. </w:t>
      </w:r>
    </w:p>
    <w:p w14:paraId="78E215F9" w14:textId="73D8F156" w:rsidR="00813C9C" w:rsidRPr="000252AB" w:rsidRDefault="00A72588" w:rsidP="00A72588">
      <w:pPr>
        <w:pStyle w:val="Heading3"/>
      </w:pPr>
      <w:r w:rsidRPr="00813C9C">
        <w:t xml:space="preserve">Training </w:t>
      </w:r>
    </w:p>
    <w:p w14:paraId="6F3FF585" w14:textId="5ABAFC2C" w:rsidR="00F612FD" w:rsidRDefault="00813C9C" w:rsidP="000252AB">
      <w:pPr>
        <w:pStyle w:val="BodyText"/>
        <w:rPr>
          <w:b/>
        </w:rPr>
      </w:pPr>
      <w:r w:rsidRPr="00813C9C">
        <w:t>Training is essential to ensuring that the Parties to the MOU</w:t>
      </w:r>
      <w:r w:rsidR="00B27ABF">
        <w:t>/MOA</w:t>
      </w:r>
      <w:r w:rsidRPr="00813C9C">
        <w:t xml:space="preserve"> and their employees and agents are able to fulfill their responsibilities under the MOU</w:t>
      </w:r>
      <w:r w:rsidR="00B27ABF">
        <w:t>/MOA</w:t>
      </w:r>
      <w:r w:rsidRPr="00813C9C">
        <w:t xml:space="preserve">. Below are examples of the elements of training the Parties should consider. Additional topics for training beyond those set out </w:t>
      </w:r>
      <w:r w:rsidR="006F3E45">
        <w:t>here</w:t>
      </w:r>
      <w:r w:rsidRPr="00813C9C">
        <w:t xml:space="preserve"> should be considered by the Parties to the MOU</w:t>
      </w:r>
      <w:r w:rsidR="00B27ABF">
        <w:t>/MOA</w:t>
      </w:r>
      <w:r w:rsidRPr="00813C9C">
        <w:t xml:space="preserve"> to address any other public safety issues facing </w:t>
      </w:r>
      <w:r w:rsidR="006F3E45">
        <w:t>T</w:t>
      </w:r>
      <w:r w:rsidR="00B27ABF">
        <w:t>ribal and local law enforcement</w:t>
      </w:r>
      <w:r w:rsidRPr="00813C9C">
        <w:t xml:space="preserve">. The Parties also should ensure that the trainer has the skills, qualifications, and experience needed to conduct the particular type of training. </w:t>
      </w:r>
    </w:p>
    <w:p w14:paraId="33A9487A" w14:textId="0744658C" w:rsidR="002C255E" w:rsidRPr="006F3E45" w:rsidRDefault="002C255E" w:rsidP="006F3E45">
      <w:pPr>
        <w:pStyle w:val="ListNumber"/>
        <w:numPr>
          <w:ilvl w:val="0"/>
          <w:numId w:val="25"/>
        </w:numPr>
        <w:rPr>
          <w:b/>
        </w:rPr>
      </w:pPr>
      <w:r>
        <w:t>T</w:t>
      </w:r>
      <w:r w:rsidR="00813C9C" w:rsidRPr="002C255E">
        <w:t xml:space="preserve">he Parties agree that any individual who may be required to </w:t>
      </w:r>
      <w:proofErr w:type="gramStart"/>
      <w:r w:rsidR="00813C9C" w:rsidRPr="002C255E">
        <w:t>conduct an investigation</w:t>
      </w:r>
      <w:proofErr w:type="gramEnd"/>
      <w:r w:rsidR="00813C9C" w:rsidRPr="002C255E">
        <w:t xml:space="preserve"> in response to a reported </w:t>
      </w:r>
      <w:r w:rsidR="00B27ABF" w:rsidRPr="002C255E">
        <w:t xml:space="preserve">MMIP case </w:t>
      </w:r>
      <w:r w:rsidR="00813C9C" w:rsidRPr="002C255E">
        <w:t>will be given specialized</w:t>
      </w:r>
      <w:r w:rsidR="00B27ABF" w:rsidRPr="002C255E">
        <w:t xml:space="preserve"> </w:t>
      </w:r>
      <w:r w:rsidR="00813C9C" w:rsidRPr="002C255E">
        <w:t xml:space="preserve">training and periodic follow-up instruction in </w:t>
      </w:r>
      <w:r w:rsidR="00B27ABF" w:rsidRPr="002C255E">
        <w:t xml:space="preserve">areas including but not limited to missing </w:t>
      </w:r>
      <w:r w:rsidR="00525CE8" w:rsidRPr="002C255E">
        <w:t>persons</w:t>
      </w:r>
      <w:r w:rsidR="00B27ABF" w:rsidRPr="002C255E">
        <w:t xml:space="preserve"> investigation, interviewing techniques, search and rescue, collection and preservation of evidence, forensics, assault</w:t>
      </w:r>
      <w:r>
        <w:t>/</w:t>
      </w:r>
      <w:r w:rsidR="00B27ABF" w:rsidRPr="002C255E">
        <w:t>sexual</w:t>
      </w:r>
      <w:r w:rsidR="00813C9C" w:rsidRPr="002C255E">
        <w:t xml:space="preserve"> assault</w:t>
      </w:r>
      <w:r w:rsidR="006F3E45">
        <w:t>,</w:t>
      </w:r>
      <w:r>
        <w:t xml:space="preserve"> and homicide investigation.</w:t>
      </w:r>
      <w:r w:rsidR="00B27ABF" w:rsidRPr="002C255E">
        <w:t xml:space="preserve"> </w:t>
      </w:r>
    </w:p>
    <w:p w14:paraId="56EFF386" w14:textId="21B5FF0F" w:rsidR="00F612FD" w:rsidRDefault="00813C9C" w:rsidP="006F3E45">
      <w:pPr>
        <w:pStyle w:val="ListNumber"/>
        <w:rPr>
          <w:b/>
        </w:rPr>
      </w:pPr>
      <w:r w:rsidRPr="00813C9C">
        <w:t xml:space="preserve">The Parties agree to develop and deliver job-specific, trauma-informed training for 911 dispatchers and first responders on how to handle reported incidents of campus sexual assault and other crimes of violence. </w:t>
      </w:r>
    </w:p>
    <w:p w14:paraId="2A443E6B" w14:textId="77777777" w:rsidR="006F3E45" w:rsidRDefault="006F3E45" w:rsidP="006F3E45">
      <w:pPr>
        <w:pStyle w:val="BodyText"/>
      </w:pPr>
      <w:r>
        <w:br w:type="page"/>
      </w:r>
    </w:p>
    <w:p w14:paraId="0E0FFCB3" w14:textId="677262C6" w:rsidR="00194AA7" w:rsidRPr="000252AB" w:rsidRDefault="00A72588" w:rsidP="00A72588">
      <w:pPr>
        <w:pStyle w:val="Heading3"/>
      </w:pPr>
      <w:r w:rsidRPr="009117EA">
        <w:lastRenderedPageBreak/>
        <w:t xml:space="preserve">Costs and expenditures </w:t>
      </w:r>
    </w:p>
    <w:p w14:paraId="318E5552" w14:textId="073FB775" w:rsidR="00194AA7" w:rsidRPr="000252AB" w:rsidRDefault="00194AA7" w:rsidP="006F3E45">
      <w:pPr>
        <w:pStyle w:val="BodyText"/>
        <w:ind w:left="720"/>
        <w:rPr>
          <w:b/>
        </w:rPr>
      </w:pPr>
      <w:r w:rsidRPr="00813C9C">
        <w:t>The Parties agree that costs associated with this MOU</w:t>
      </w:r>
      <w:r>
        <w:t>/MOA</w:t>
      </w:r>
      <w:r w:rsidRPr="00813C9C">
        <w:t xml:space="preserve"> will be covered as follows</w:t>
      </w:r>
      <w:r w:rsidR="006F3E45">
        <w:t>:</w:t>
      </w:r>
      <w:r w:rsidRPr="00813C9C">
        <w:t xml:space="preserve"> [insert appropriate language]</w:t>
      </w:r>
      <w:r w:rsidR="006F3E45">
        <w:t>.</w:t>
      </w:r>
    </w:p>
    <w:p w14:paraId="16C3C89F" w14:textId="4E5AF5D6" w:rsidR="00F612FD" w:rsidRPr="00F612FD" w:rsidRDefault="00A72588" w:rsidP="00A72588">
      <w:pPr>
        <w:pStyle w:val="Heading3"/>
      </w:pPr>
      <w:r w:rsidRPr="00194AA7">
        <w:t>Legal obligations/considerations</w:t>
      </w:r>
    </w:p>
    <w:p w14:paraId="05F026E5" w14:textId="1BB8CFE3" w:rsidR="00F612FD" w:rsidRDefault="00813C9C" w:rsidP="006F3E45">
      <w:pPr>
        <w:pStyle w:val="BodyText"/>
        <w:ind w:left="720"/>
        <w:rPr>
          <w:b/>
        </w:rPr>
      </w:pPr>
      <w:r w:rsidRPr="00813C9C">
        <w:t>Each Party agrees to act in good faith to observe the terms of this MOU</w:t>
      </w:r>
      <w:r w:rsidR="00525CE8">
        <w:t>/MOA</w:t>
      </w:r>
      <w:r w:rsidRPr="00813C9C">
        <w:t>; however, nothing in this MOU</w:t>
      </w:r>
      <w:r w:rsidR="00525CE8">
        <w:t>/MOA</w:t>
      </w:r>
      <w:r w:rsidRPr="00813C9C">
        <w:t xml:space="preserve"> is intended to require any unlawful or unauthorized act by any Party. </w:t>
      </w:r>
    </w:p>
    <w:p w14:paraId="6910E133" w14:textId="77777777" w:rsidR="00F612FD" w:rsidRDefault="00813C9C" w:rsidP="006F3E45">
      <w:pPr>
        <w:pStyle w:val="BodyText"/>
        <w:ind w:left="720"/>
        <w:rPr>
          <w:b/>
        </w:rPr>
      </w:pPr>
      <w:r w:rsidRPr="00813C9C">
        <w:t>No provision of this MOU</w:t>
      </w:r>
      <w:r w:rsidR="00525CE8">
        <w:t>/MOA</w:t>
      </w:r>
      <w:r w:rsidRPr="00813C9C">
        <w:t xml:space="preserve"> shall form the basis of a cause of action at law or equity by any Party against any other Party, nor shall any provision of this MOU</w:t>
      </w:r>
      <w:r w:rsidR="00525CE8">
        <w:t>/MOA</w:t>
      </w:r>
      <w:r w:rsidRPr="00813C9C">
        <w:t xml:space="preserve"> form the basis of a cause of action at law or equity by any third party. </w:t>
      </w:r>
    </w:p>
    <w:p w14:paraId="479C62B4" w14:textId="1786AE54" w:rsidR="009117EA" w:rsidRPr="009117EA" w:rsidRDefault="00A72588" w:rsidP="00A72588">
      <w:pPr>
        <w:pStyle w:val="Heading3"/>
        <w:rPr>
          <w:rFonts w:eastAsia="Times New Roman"/>
        </w:rPr>
      </w:pPr>
      <w:r w:rsidRPr="009117EA">
        <w:rPr>
          <w:rFonts w:eastAsia="Times New Roman"/>
        </w:rPr>
        <w:t>Term and termination</w:t>
      </w:r>
    </w:p>
    <w:p w14:paraId="2EDCB847" w14:textId="1C0BEA0B" w:rsidR="00194AA7" w:rsidRDefault="00194AA7" w:rsidP="006F3E45">
      <w:pPr>
        <w:pStyle w:val="BodyText"/>
        <w:ind w:left="720"/>
        <w:rPr>
          <w:b/>
        </w:rPr>
      </w:pPr>
      <w:r w:rsidRPr="00813C9C">
        <w:t>This MOU</w:t>
      </w:r>
      <w:r>
        <w:t>/MOA</w:t>
      </w:r>
      <w:r w:rsidRPr="00813C9C">
        <w:t xml:space="preserve"> may be executed in counterparts. </w:t>
      </w:r>
    </w:p>
    <w:p w14:paraId="755D4529" w14:textId="101E72C7" w:rsidR="009117EA" w:rsidRDefault="00813C9C" w:rsidP="006F3E45">
      <w:pPr>
        <w:pStyle w:val="BodyText"/>
        <w:ind w:left="720"/>
        <w:rPr>
          <w:b/>
        </w:rPr>
      </w:pPr>
      <w:r w:rsidRPr="00813C9C">
        <w:t>This MOU</w:t>
      </w:r>
      <w:r w:rsidR="00525CE8">
        <w:t>/MOA</w:t>
      </w:r>
      <w:r w:rsidRPr="00813C9C">
        <w:t xml:space="preserve"> may be terminated upon 30 days’ notice by any Party. This MOU</w:t>
      </w:r>
      <w:r w:rsidR="00525CE8">
        <w:t>/MOA</w:t>
      </w:r>
      <w:r w:rsidRPr="00813C9C">
        <w:t xml:space="preserve"> may be amended or terminated by mutual agreement of the Parties. An amendment or termination should be done in writing. </w:t>
      </w:r>
    </w:p>
    <w:p w14:paraId="1C3B8E9F" w14:textId="7B25FA68" w:rsidR="00F612FD" w:rsidRDefault="009117EA" w:rsidP="006F3E45">
      <w:pPr>
        <w:pStyle w:val="BodyText"/>
        <w:ind w:left="720"/>
        <w:rPr>
          <w:b/>
        </w:rPr>
      </w:pPr>
      <w:r w:rsidRPr="00813C9C">
        <w:t>This MOU</w:t>
      </w:r>
      <w:r>
        <w:t>/MOA</w:t>
      </w:r>
      <w:r w:rsidRPr="00813C9C">
        <w:t xml:space="preserve"> is effective upon signature by each Party. </w:t>
      </w:r>
    </w:p>
    <w:p w14:paraId="64D03DFC" w14:textId="4CE14D45" w:rsidR="00194AA7" w:rsidRPr="006F3E45" w:rsidRDefault="00194AA7" w:rsidP="006F3E45">
      <w:pPr>
        <w:pStyle w:val="BodyText"/>
        <w:ind w:left="720"/>
      </w:pPr>
      <w:r w:rsidRPr="006F3E45">
        <w:t>FOR [FULL NAME OF AGENCY]</w:t>
      </w:r>
      <w:r w:rsidR="006F3E45">
        <w:tab/>
      </w:r>
      <w:r w:rsidR="006F3E45">
        <w:tab/>
      </w:r>
      <w:r w:rsidR="006F3E45">
        <w:tab/>
      </w:r>
      <w:r w:rsidR="006F3E45" w:rsidRPr="006F3E45">
        <w:t xml:space="preserve"> </w:t>
      </w:r>
      <w:r w:rsidRPr="006F3E45">
        <w:t>[DATE]</w:t>
      </w:r>
    </w:p>
    <w:p w14:paraId="589E3936" w14:textId="79D452A1" w:rsidR="00194AA7" w:rsidRPr="006F3E45" w:rsidRDefault="00194AA7" w:rsidP="006F3E45">
      <w:pPr>
        <w:pStyle w:val="BodyText"/>
        <w:ind w:left="720"/>
      </w:pPr>
      <w:r w:rsidRPr="006F3E45">
        <w:t>[Signature]</w:t>
      </w:r>
      <w:r w:rsidR="006F3E45">
        <w:tab/>
      </w:r>
      <w:r w:rsidRPr="006F3E45">
        <w:t>[</w:t>
      </w:r>
      <w:r w:rsidR="006F3E45">
        <w:t xml:space="preserve">Print </w:t>
      </w:r>
      <w:r w:rsidRPr="006F3E45">
        <w:t>Name]</w:t>
      </w:r>
      <w:r w:rsidR="006F3E45">
        <w:tab/>
      </w:r>
      <w:r w:rsidR="006F3E45">
        <w:tab/>
      </w:r>
      <w:r w:rsidRPr="006F3E45">
        <w:t>[Title]</w:t>
      </w:r>
    </w:p>
    <w:p w14:paraId="6172F1BB" w14:textId="77777777" w:rsidR="006F3E45" w:rsidRPr="006F3E45" w:rsidRDefault="006F3E45" w:rsidP="006F3E45">
      <w:pPr>
        <w:pStyle w:val="BodyText"/>
        <w:ind w:left="720"/>
      </w:pPr>
      <w:r w:rsidRPr="006F3E45">
        <w:t>FOR [FULL NAME OF AGENCY]</w:t>
      </w:r>
      <w:r>
        <w:tab/>
      </w:r>
      <w:r>
        <w:tab/>
      </w:r>
      <w:r>
        <w:tab/>
      </w:r>
      <w:r w:rsidRPr="006F3E45">
        <w:t xml:space="preserve"> [DATE]</w:t>
      </w:r>
    </w:p>
    <w:p w14:paraId="0F98427F" w14:textId="248E8518" w:rsidR="00F612FD" w:rsidRPr="000252AB" w:rsidRDefault="006F3E45" w:rsidP="006F3E45">
      <w:pPr>
        <w:pStyle w:val="BodyText"/>
        <w:ind w:left="720"/>
      </w:pPr>
      <w:r w:rsidRPr="006F3E45">
        <w:t>[Signature]</w:t>
      </w:r>
      <w:r>
        <w:tab/>
      </w:r>
      <w:r w:rsidRPr="006F3E45">
        <w:t>[</w:t>
      </w:r>
      <w:r>
        <w:t xml:space="preserve">Print </w:t>
      </w:r>
      <w:r w:rsidRPr="006F3E45">
        <w:t>Name]</w:t>
      </w:r>
      <w:r>
        <w:tab/>
      </w:r>
      <w:r>
        <w:tab/>
      </w:r>
      <w:r w:rsidRPr="006F3E45">
        <w:t>[Title]</w:t>
      </w:r>
    </w:p>
    <w:sectPr w:rsidR="00F612FD" w:rsidRPr="000252AB" w:rsidSect="000252AB">
      <w:footerReference w:type="default" r:id="rId7"/>
      <w:head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F5CC2" w14:textId="77777777" w:rsidR="004217F0" w:rsidRDefault="004217F0" w:rsidP="004217F0">
      <w:r>
        <w:separator/>
      </w:r>
    </w:p>
  </w:endnote>
  <w:endnote w:type="continuationSeparator" w:id="0">
    <w:p w14:paraId="29D4F595" w14:textId="77777777" w:rsidR="004217F0" w:rsidRDefault="004217F0" w:rsidP="0042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114913"/>
      <w:docPartObj>
        <w:docPartGallery w:val="Page Numbers (Bottom of Page)"/>
        <w:docPartUnique/>
      </w:docPartObj>
    </w:sdtPr>
    <w:sdtEndPr>
      <w:rPr>
        <w:noProof/>
      </w:rPr>
    </w:sdtEndPr>
    <w:sdtContent>
      <w:p w14:paraId="3FCD94C2" w14:textId="78A8B8F7" w:rsidR="004217F0" w:rsidRPr="000252AB" w:rsidRDefault="000252AB" w:rsidP="000252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9076" w14:textId="77777777" w:rsidR="004217F0" w:rsidRDefault="004217F0" w:rsidP="004217F0">
      <w:r>
        <w:separator/>
      </w:r>
    </w:p>
  </w:footnote>
  <w:footnote w:type="continuationSeparator" w:id="0">
    <w:p w14:paraId="78F17E0F" w14:textId="77777777" w:rsidR="004217F0" w:rsidRDefault="004217F0" w:rsidP="0042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1AF4" w14:textId="72811573" w:rsidR="000252AB" w:rsidRPr="006F720F" w:rsidRDefault="006F720F" w:rsidP="006F720F">
    <w:pPr>
      <w:pStyle w:val="BodyText"/>
      <w:rPr>
        <w:i/>
        <w:color w:val="CC0000"/>
      </w:rPr>
    </w:pPr>
    <w:r>
      <w:rPr>
        <w:noProof/>
      </w:rPr>
      <w:drawing>
        <wp:inline distT="0" distB="0" distL="0" distR="0" wp14:anchorId="2A71472E" wp14:editId="3FF0E3A0">
          <wp:extent cx="1343025" cy="539926"/>
          <wp:effectExtent l="0" t="0" r="0" b="0"/>
          <wp:docPr id="2" name="Picture 2" descr="Logo for the Western Community Policing Institute (W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Western Community Policing Institute (WC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03" cy="546028"/>
                  </a:xfrm>
                  <a:prstGeom prst="rect">
                    <a:avLst/>
                  </a:prstGeom>
                  <a:noFill/>
                  <a:ln>
                    <a:noFill/>
                  </a:ln>
                </pic:spPr>
              </pic:pic>
            </a:graphicData>
          </a:graphic>
        </wp:inline>
      </w:drawing>
    </w:r>
    <w:r w:rsidRPr="006F720F">
      <w:rPr>
        <w:sz w:val="28"/>
        <w:szCs w:val="28"/>
      </w:rPr>
      <w:ptab w:relativeTo="margin" w:alignment="center" w:leader="none"/>
    </w:r>
    <w:r>
      <w:t xml:space="preserve"> • </w:t>
    </w:r>
    <w:r w:rsidRPr="00A72588">
      <w:rPr>
        <w:sz w:val="24"/>
      </w:rPr>
      <w:t>Western Community Policing Institute</w:t>
    </w:r>
    <w:r>
      <w:t xml:space="preserve"> • </w:t>
    </w:r>
    <w:r w:rsidRPr="00A72588">
      <w:rPr>
        <w:i/>
        <w:color w:val="CC0000"/>
        <w:sz w:val="24"/>
      </w:rPr>
      <w:t>Western Oregon University</w:t>
    </w:r>
    <w:r w:rsidRPr="004217F0">
      <w:rPr>
        <w:i/>
        <w:color w:val="CC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BE2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5A9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D60B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72E9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70BA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C0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E4C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4E44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526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206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364C8ACC"/>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D9C4D96"/>
    <w:multiLevelType w:val="multilevel"/>
    <w:tmpl w:val="F31E8ADE"/>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536D8B"/>
    <w:multiLevelType w:val="hybridMultilevel"/>
    <w:tmpl w:val="CAF23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662B6"/>
    <w:multiLevelType w:val="multilevel"/>
    <w:tmpl w:val="372E557C"/>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B24370"/>
    <w:multiLevelType w:val="multilevel"/>
    <w:tmpl w:val="A290EE4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7065C4"/>
    <w:multiLevelType w:val="multilevel"/>
    <w:tmpl w:val="EB08506C"/>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B19420A"/>
    <w:multiLevelType w:val="multilevel"/>
    <w:tmpl w:val="BBA8B622"/>
    <w:lvl w:ilvl="0">
      <w:start w:val="1"/>
      <w:numFmt w:val="decimal"/>
      <w:pStyle w:val="SidebarListNumber"/>
      <w:lvlText w:val="%1."/>
      <w:lvlJc w:val="left"/>
      <w:pPr>
        <w:ind w:left="720" w:hanging="360"/>
      </w:pPr>
      <w:rPr>
        <w:rFonts w:ascii="Cambria" w:hAnsi="Cambria" w:hint="default"/>
        <w:color w:val="44546A" w:themeColor="text2"/>
        <w:sz w:val="20"/>
      </w:rPr>
    </w:lvl>
    <w:lvl w:ilvl="1">
      <w:start w:val="1"/>
      <w:numFmt w:val="lowerLetter"/>
      <w:lvlText w:val="%2."/>
      <w:lvlJc w:val="left"/>
      <w:pPr>
        <w:ind w:left="1080" w:hanging="360"/>
      </w:pPr>
      <w:rPr>
        <w:rFonts w:ascii="Cambria" w:hAnsi="Cambria" w:hint="default"/>
        <w:b w:val="0"/>
        <w:i w:val="0"/>
        <w:color w:val="44546A" w:themeColor="text2"/>
        <w:sz w:val="20"/>
      </w:rPr>
    </w:lvl>
    <w:lvl w:ilvl="2">
      <w:start w:val="1"/>
      <w:numFmt w:val="lowerRoman"/>
      <w:lvlText w:val="%3."/>
      <w:lvlJc w:val="left"/>
      <w:pPr>
        <w:ind w:left="144" w:firstLine="936"/>
      </w:pPr>
      <w:rPr>
        <w:rFonts w:ascii="Cambria" w:hAnsi="Cambria" w:hint="default"/>
        <w:b w:val="0"/>
        <w:i w:val="0"/>
        <w:color w:val="44546A" w:themeColor="text2"/>
        <w:sz w:val="20"/>
      </w:rPr>
    </w:lvl>
    <w:lvl w:ilvl="3">
      <w:start w:val="1"/>
      <w:numFmt w:val="decimal"/>
      <w:lvlText w:val="%4)"/>
      <w:lvlJc w:val="left"/>
      <w:pPr>
        <w:ind w:left="1800" w:hanging="360"/>
      </w:pPr>
      <w:rPr>
        <w:rFonts w:ascii="Cambria" w:hAnsi="Cambria" w:hint="default"/>
        <w:b w:val="0"/>
        <w:i w:val="0"/>
        <w:color w:val="44546A" w:themeColor="text2"/>
        <w:sz w:val="20"/>
      </w:rPr>
    </w:lvl>
    <w:lvl w:ilvl="4">
      <w:start w:val="1"/>
      <w:numFmt w:val="lowerLetter"/>
      <w:lvlText w:val="%5)"/>
      <w:lvlJc w:val="left"/>
      <w:pPr>
        <w:ind w:left="2160" w:hanging="360"/>
      </w:pPr>
      <w:rPr>
        <w:rFonts w:ascii="Cambria" w:hAnsi="Cambria" w:hint="default"/>
        <w:b w:val="0"/>
        <w:i w:val="0"/>
        <w:color w:val="44546A" w:themeColor="text2"/>
        <w:sz w:val="20"/>
      </w:rPr>
    </w:lvl>
    <w:lvl w:ilvl="5">
      <w:start w:val="1"/>
      <w:numFmt w:val="lowerRoman"/>
      <w:lvlText w:val="%6)"/>
      <w:lvlJc w:val="left"/>
      <w:pPr>
        <w:ind w:left="2160" w:hanging="360"/>
      </w:pPr>
      <w:rPr>
        <w:rFonts w:ascii="Cambria" w:hAnsi="Cambria" w:hint="default"/>
        <w:b w:val="0"/>
        <w:i w:val="0"/>
        <w:color w:val="44546A" w:themeColor="text2"/>
        <w:sz w:val="20"/>
      </w:rPr>
    </w:lvl>
    <w:lvl w:ilvl="6">
      <w:start w:val="1"/>
      <w:numFmt w:val="decimal"/>
      <w:lvlText w:val="(%7)"/>
      <w:lvlJc w:val="left"/>
      <w:pPr>
        <w:ind w:left="2520" w:hanging="360"/>
      </w:pPr>
      <w:rPr>
        <w:rFonts w:ascii="Cambria" w:hAnsi="Cambria" w:hint="default"/>
        <w:b w:val="0"/>
        <w:i w:val="0"/>
        <w:color w:val="44546A" w:themeColor="text2"/>
        <w:sz w:val="20"/>
      </w:rPr>
    </w:lvl>
    <w:lvl w:ilvl="7">
      <w:start w:val="1"/>
      <w:numFmt w:val="lowerLetter"/>
      <w:lvlText w:val="(%8)"/>
      <w:lvlJc w:val="left"/>
      <w:pPr>
        <w:ind w:left="2880" w:hanging="360"/>
      </w:pPr>
      <w:rPr>
        <w:rFonts w:ascii="Cambria" w:hAnsi="Cambria" w:hint="default"/>
        <w:b w:val="0"/>
        <w:i w:val="0"/>
        <w:color w:val="44546A" w:themeColor="text2"/>
        <w:sz w:val="20"/>
      </w:rPr>
    </w:lvl>
    <w:lvl w:ilvl="8">
      <w:start w:val="1"/>
      <w:numFmt w:val="lowerRoman"/>
      <w:lvlText w:val="(%9)"/>
      <w:lvlJc w:val="left"/>
      <w:pPr>
        <w:ind w:left="3240" w:hanging="360"/>
      </w:pPr>
      <w:rPr>
        <w:rFonts w:ascii="Cambria" w:hAnsi="Cambria" w:hint="default"/>
        <w:b w:val="0"/>
        <w:i w:val="0"/>
        <w:color w:val="44546A" w:themeColor="text2"/>
        <w:sz w:val="20"/>
      </w:rPr>
    </w:lvl>
  </w:abstractNum>
  <w:abstractNum w:abstractNumId="17" w15:restartNumberingAfterBreak="0">
    <w:nsid w:val="7B070495"/>
    <w:multiLevelType w:val="hybridMultilevel"/>
    <w:tmpl w:val="03DC894E"/>
    <w:lvl w:ilvl="0" w:tplc="743E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9"/>
  </w:num>
  <w:num w:numId="4">
    <w:abstractNumId w:val="14"/>
  </w:num>
  <w:num w:numId="5">
    <w:abstractNumId w:val="10"/>
  </w:num>
  <w:num w:numId="6">
    <w:abstractNumId w:val="16"/>
  </w:num>
  <w:num w:numId="7">
    <w:abstractNumId w:val="11"/>
  </w:num>
  <w:num w:numId="8">
    <w:abstractNumId w:val="13"/>
  </w:num>
  <w:num w:numId="9">
    <w:abstractNumId w:val="8"/>
  </w:num>
  <w:num w:numId="10">
    <w:abstractNumId w:val="15"/>
  </w:num>
  <w:num w:numId="11">
    <w:abstractNumId w:val="14"/>
  </w:num>
  <w:num w:numId="12">
    <w:abstractNumId w:val="10"/>
  </w:num>
  <w:num w:numId="13">
    <w:abstractNumId w:val="16"/>
  </w:num>
  <w:num w:numId="14">
    <w:abstractNumId w:val="1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7F0"/>
    <w:rsid w:val="000252AB"/>
    <w:rsid w:val="000B0D0F"/>
    <w:rsid w:val="00107915"/>
    <w:rsid w:val="0012662E"/>
    <w:rsid w:val="00136FCE"/>
    <w:rsid w:val="00194AA7"/>
    <w:rsid w:val="002313C9"/>
    <w:rsid w:val="002C255E"/>
    <w:rsid w:val="002C742C"/>
    <w:rsid w:val="002D3B93"/>
    <w:rsid w:val="00330AC3"/>
    <w:rsid w:val="003C5CB2"/>
    <w:rsid w:val="004217F0"/>
    <w:rsid w:val="00442170"/>
    <w:rsid w:val="004918D9"/>
    <w:rsid w:val="00495851"/>
    <w:rsid w:val="004C1448"/>
    <w:rsid w:val="004C5BD7"/>
    <w:rsid w:val="004F5A18"/>
    <w:rsid w:val="00525CE8"/>
    <w:rsid w:val="005663E5"/>
    <w:rsid w:val="005A4083"/>
    <w:rsid w:val="005C77A7"/>
    <w:rsid w:val="005D55AD"/>
    <w:rsid w:val="00676AE0"/>
    <w:rsid w:val="006B19A8"/>
    <w:rsid w:val="006C4606"/>
    <w:rsid w:val="006C4C4D"/>
    <w:rsid w:val="006C64B3"/>
    <w:rsid w:val="006F3E45"/>
    <w:rsid w:val="006F720F"/>
    <w:rsid w:val="007014D2"/>
    <w:rsid w:val="00730E2D"/>
    <w:rsid w:val="0076553A"/>
    <w:rsid w:val="00792377"/>
    <w:rsid w:val="00813C9C"/>
    <w:rsid w:val="00840876"/>
    <w:rsid w:val="00855AE9"/>
    <w:rsid w:val="00873079"/>
    <w:rsid w:val="009117EA"/>
    <w:rsid w:val="00952270"/>
    <w:rsid w:val="00962D73"/>
    <w:rsid w:val="00A574AB"/>
    <w:rsid w:val="00A72588"/>
    <w:rsid w:val="00A97429"/>
    <w:rsid w:val="00AE03F5"/>
    <w:rsid w:val="00B23242"/>
    <w:rsid w:val="00B27ABF"/>
    <w:rsid w:val="00C4384B"/>
    <w:rsid w:val="00CE0F7E"/>
    <w:rsid w:val="00D13F3A"/>
    <w:rsid w:val="00D528D9"/>
    <w:rsid w:val="00DE0FFE"/>
    <w:rsid w:val="00EF142D"/>
    <w:rsid w:val="00F0485D"/>
    <w:rsid w:val="00F612FD"/>
    <w:rsid w:val="00F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D46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CE"/>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136FCE"/>
    <w:pPr>
      <w:outlineLvl w:val="0"/>
    </w:pPr>
    <w:rPr>
      <w:b w:val="0"/>
    </w:rPr>
  </w:style>
  <w:style w:type="paragraph" w:styleId="Heading2">
    <w:name w:val="heading 2"/>
    <w:next w:val="Normal"/>
    <w:link w:val="Heading2Char"/>
    <w:uiPriority w:val="9"/>
    <w:unhideWhenUsed/>
    <w:qFormat/>
    <w:rsid w:val="00136FCE"/>
    <w:pPr>
      <w:outlineLvl w:val="1"/>
    </w:pPr>
    <w:rPr>
      <w:rFonts w:asciiTheme="majorHAnsi" w:eastAsiaTheme="majorEastAsia" w:hAnsiTheme="majorHAnsi" w:cstheme="majorBidi"/>
      <w:b/>
      <w:bCs/>
      <w:color w:val="2E74B5" w:themeColor="accent1" w:themeShade="BF"/>
      <w:sz w:val="40"/>
      <w:szCs w:val="40"/>
    </w:rPr>
  </w:style>
  <w:style w:type="paragraph" w:styleId="Heading3">
    <w:name w:val="heading 3"/>
    <w:next w:val="Normal"/>
    <w:link w:val="Heading3Char"/>
    <w:uiPriority w:val="9"/>
    <w:unhideWhenUsed/>
    <w:qFormat/>
    <w:rsid w:val="00136FCE"/>
    <w:pPr>
      <w:spacing w:before="240" w:after="0"/>
      <w:outlineLvl w:val="2"/>
    </w:pPr>
    <w:rPr>
      <w:rFonts w:asciiTheme="majorHAnsi" w:eastAsiaTheme="majorEastAsia" w:hAnsiTheme="majorHAnsi" w:cstheme="majorBidi"/>
      <w:b/>
      <w:bCs/>
      <w:color w:val="2E74B5" w:themeColor="accent1" w:themeShade="BF"/>
      <w:sz w:val="28"/>
      <w:szCs w:val="28"/>
    </w:rPr>
  </w:style>
  <w:style w:type="paragraph" w:styleId="Heading4">
    <w:name w:val="heading 4"/>
    <w:next w:val="Normal"/>
    <w:link w:val="Heading4Char"/>
    <w:uiPriority w:val="9"/>
    <w:semiHidden/>
    <w:unhideWhenUsed/>
    <w:qFormat/>
    <w:rsid w:val="00136FCE"/>
    <w:pPr>
      <w:spacing w:before="240" w:after="0"/>
      <w:outlineLvl w:val="3"/>
    </w:pPr>
    <w:rPr>
      <w:rFonts w:asciiTheme="majorHAnsi" w:eastAsiaTheme="majorEastAsia" w:hAnsiTheme="majorHAnsi" w:cstheme="majorBidi"/>
      <w:bCs/>
      <w:color w:val="2E74B5" w:themeColor="accent1" w:themeShade="BF"/>
      <w:sz w:val="28"/>
      <w:szCs w:val="24"/>
    </w:rPr>
  </w:style>
  <w:style w:type="paragraph" w:styleId="Heading5">
    <w:name w:val="heading 5"/>
    <w:next w:val="Normal"/>
    <w:link w:val="Heading5Char"/>
    <w:uiPriority w:val="9"/>
    <w:semiHidden/>
    <w:unhideWhenUsed/>
    <w:qFormat/>
    <w:rsid w:val="00136FCE"/>
    <w:pPr>
      <w:spacing w:before="240" w:after="0"/>
      <w:outlineLvl w:val="4"/>
    </w:pPr>
    <w:rPr>
      <w:rFonts w:asciiTheme="majorHAnsi" w:eastAsiaTheme="majorEastAsia" w:hAnsiTheme="majorHAnsi" w:cstheme="majorBidi"/>
      <w:b/>
      <w:bCs/>
      <w:iCs/>
      <w:color w:val="2E74B5" w:themeColor="accent1" w:themeShade="BF"/>
    </w:rPr>
  </w:style>
  <w:style w:type="paragraph" w:styleId="Heading7">
    <w:name w:val="heading 7"/>
    <w:basedOn w:val="Normal"/>
    <w:next w:val="Normal"/>
    <w:link w:val="Heading7Char"/>
    <w:uiPriority w:val="9"/>
    <w:semiHidden/>
    <w:unhideWhenUsed/>
    <w:qFormat/>
    <w:rsid w:val="00136F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6FC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6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63E5"/>
    <w:rPr>
      <w:rFonts w:eastAsiaTheme="majorEastAsia"/>
      <w:sz w:val="32"/>
    </w:rPr>
  </w:style>
  <w:style w:type="paragraph" w:styleId="EnvelopeAddress">
    <w:name w:val="envelope address"/>
    <w:basedOn w:val="Normal"/>
    <w:uiPriority w:val="99"/>
    <w:semiHidden/>
    <w:unhideWhenUsed/>
    <w:rsid w:val="005663E5"/>
    <w:pPr>
      <w:framePr w:w="7920" w:h="1980" w:hRule="exact" w:hSpace="180" w:wrap="auto" w:hAnchor="page" w:xAlign="center" w:yAlign="bottom"/>
      <w:ind w:left="2880"/>
    </w:pPr>
    <w:rPr>
      <w:rFonts w:eastAsiaTheme="majorEastAsia"/>
      <w:sz w:val="32"/>
    </w:rPr>
  </w:style>
  <w:style w:type="paragraph" w:styleId="Header">
    <w:name w:val="header"/>
    <w:basedOn w:val="Normal"/>
    <w:link w:val="HeaderChar"/>
    <w:uiPriority w:val="99"/>
    <w:unhideWhenUsed/>
    <w:rsid w:val="004217F0"/>
    <w:pPr>
      <w:tabs>
        <w:tab w:val="center" w:pos="4680"/>
        <w:tab w:val="right" w:pos="9360"/>
      </w:tabs>
    </w:pPr>
  </w:style>
  <w:style w:type="character" w:customStyle="1" w:styleId="HeaderChar">
    <w:name w:val="Header Char"/>
    <w:basedOn w:val="DefaultParagraphFont"/>
    <w:link w:val="Header"/>
    <w:uiPriority w:val="99"/>
    <w:rsid w:val="004217F0"/>
  </w:style>
  <w:style w:type="paragraph" w:styleId="Footer">
    <w:name w:val="footer"/>
    <w:basedOn w:val="Normal"/>
    <w:link w:val="FooterChar"/>
    <w:uiPriority w:val="99"/>
    <w:unhideWhenUsed/>
    <w:rsid w:val="004217F0"/>
    <w:pPr>
      <w:tabs>
        <w:tab w:val="center" w:pos="4680"/>
        <w:tab w:val="right" w:pos="9360"/>
      </w:tabs>
    </w:pPr>
  </w:style>
  <w:style w:type="character" w:customStyle="1" w:styleId="FooterChar">
    <w:name w:val="Footer Char"/>
    <w:basedOn w:val="DefaultParagraphFont"/>
    <w:link w:val="Footer"/>
    <w:uiPriority w:val="99"/>
    <w:rsid w:val="004217F0"/>
  </w:style>
  <w:style w:type="character" w:styleId="Hyperlink">
    <w:name w:val="Hyperlink"/>
    <w:basedOn w:val="DefaultParagraphFont"/>
    <w:uiPriority w:val="99"/>
    <w:unhideWhenUsed/>
    <w:rsid w:val="004217F0"/>
    <w:rPr>
      <w:color w:val="0563C1" w:themeColor="hyperlink"/>
      <w:u w:val="single"/>
    </w:rPr>
  </w:style>
  <w:style w:type="paragraph" w:styleId="ListParagraph">
    <w:name w:val="List Paragraph"/>
    <w:basedOn w:val="Normal"/>
    <w:uiPriority w:val="72"/>
    <w:qFormat/>
    <w:rsid w:val="00136FCE"/>
    <w:pPr>
      <w:ind w:left="720"/>
      <w:contextualSpacing/>
    </w:pPr>
  </w:style>
  <w:style w:type="paragraph" w:styleId="BalloonText">
    <w:name w:val="Balloon Text"/>
    <w:basedOn w:val="Normal"/>
    <w:link w:val="BalloonTextChar"/>
    <w:uiPriority w:val="99"/>
    <w:semiHidden/>
    <w:unhideWhenUsed/>
    <w:rsid w:val="00F04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85D"/>
    <w:rPr>
      <w:rFonts w:ascii="Segoe UI" w:hAnsi="Segoe UI" w:cs="Segoe UI"/>
      <w:sz w:val="18"/>
      <w:szCs w:val="18"/>
    </w:rPr>
  </w:style>
  <w:style w:type="character" w:customStyle="1" w:styleId="Heading1Char">
    <w:name w:val="Heading 1 Char"/>
    <w:basedOn w:val="DefaultParagraphFont"/>
    <w:link w:val="Heading1"/>
    <w:uiPriority w:val="9"/>
    <w:rsid w:val="00136FCE"/>
    <w:rPr>
      <w:rFonts w:asciiTheme="majorHAnsi" w:eastAsiaTheme="majorEastAsia" w:hAnsiTheme="majorHAnsi" w:cstheme="majorBidi"/>
      <w:b/>
      <w:color w:val="323E4F" w:themeColor="text2" w:themeShade="BF"/>
      <w:spacing w:val="5"/>
      <w:kern w:val="28"/>
      <w:sz w:val="44"/>
      <w:szCs w:val="52"/>
    </w:rPr>
  </w:style>
  <w:style w:type="paragraph" w:customStyle="1" w:styleId="SidebarH1">
    <w:name w:val="Sidebar H1"/>
    <w:basedOn w:val="Normal"/>
    <w:qFormat/>
    <w:rsid w:val="00136FCE"/>
    <w:pPr>
      <w:spacing w:before="200" w:after="0"/>
    </w:pPr>
    <w:rPr>
      <w:rFonts w:asciiTheme="majorHAnsi" w:hAnsiTheme="majorHAnsi"/>
      <w:b/>
      <w:color w:val="44546A" w:themeColor="text2"/>
      <w:sz w:val="24"/>
    </w:rPr>
  </w:style>
  <w:style w:type="paragraph" w:customStyle="1" w:styleId="SidebarBodyText">
    <w:name w:val="Sidebar Body Text"/>
    <w:basedOn w:val="Normal"/>
    <w:qFormat/>
    <w:rsid w:val="00136FCE"/>
    <w:pPr>
      <w:spacing w:before="200" w:after="0"/>
    </w:pPr>
    <w:rPr>
      <w:rFonts w:asciiTheme="majorHAnsi" w:hAnsiTheme="majorHAnsi"/>
      <w:color w:val="44546A" w:themeColor="text2"/>
      <w:sz w:val="20"/>
    </w:rPr>
  </w:style>
  <w:style w:type="paragraph" w:customStyle="1" w:styleId="SidebarSource">
    <w:name w:val="Sidebar Source"/>
    <w:basedOn w:val="Normal"/>
    <w:qFormat/>
    <w:rsid w:val="00136FCE"/>
    <w:pPr>
      <w:spacing w:before="60" w:after="0"/>
    </w:pPr>
    <w:rPr>
      <w:rFonts w:asciiTheme="majorHAnsi" w:hAnsiTheme="majorHAnsi"/>
      <w:color w:val="44546A" w:themeColor="text2"/>
      <w:sz w:val="18"/>
      <w:szCs w:val="20"/>
    </w:rPr>
  </w:style>
  <w:style w:type="paragraph" w:customStyle="1" w:styleId="Byline">
    <w:name w:val="Byline"/>
    <w:basedOn w:val="BodyText"/>
    <w:qFormat/>
    <w:rsid w:val="00136FCE"/>
  </w:style>
  <w:style w:type="paragraph" w:styleId="BodyText">
    <w:name w:val="Body Text"/>
    <w:basedOn w:val="Normal"/>
    <w:link w:val="BodyTextChar"/>
    <w:uiPriority w:val="99"/>
    <w:unhideWhenUsed/>
    <w:qFormat/>
    <w:rsid w:val="00136FCE"/>
    <w:pPr>
      <w:spacing w:before="200" w:after="0"/>
    </w:pPr>
    <w:rPr>
      <w:rFonts w:cstheme="minorHAnsi"/>
    </w:rPr>
  </w:style>
  <w:style w:type="character" w:customStyle="1" w:styleId="BodyTextChar">
    <w:name w:val="Body Text Char"/>
    <w:basedOn w:val="DefaultParagraphFont"/>
    <w:link w:val="BodyText"/>
    <w:uiPriority w:val="99"/>
    <w:rsid w:val="00136FCE"/>
    <w:rPr>
      <w:rFonts w:asciiTheme="minorHAnsi" w:eastAsia="MS Mincho" w:hAnsiTheme="minorHAnsi" w:cstheme="minorHAnsi"/>
      <w:szCs w:val="24"/>
    </w:rPr>
  </w:style>
  <w:style w:type="paragraph" w:customStyle="1" w:styleId="TableListBullet">
    <w:name w:val="Table List Bullet"/>
    <w:basedOn w:val="ListBullet"/>
    <w:qFormat/>
    <w:rsid w:val="00136FCE"/>
    <w:pPr>
      <w:numPr>
        <w:numId w:val="11"/>
      </w:numPr>
      <w:spacing w:before="40" w:after="40"/>
    </w:pPr>
    <w:rPr>
      <w:sz w:val="20"/>
    </w:rPr>
  </w:style>
  <w:style w:type="paragraph" w:styleId="ListBullet">
    <w:name w:val="List Bullet"/>
    <w:basedOn w:val="Normal"/>
    <w:qFormat/>
    <w:rsid w:val="00136FCE"/>
    <w:pPr>
      <w:numPr>
        <w:numId w:val="8"/>
      </w:numPr>
      <w:spacing w:before="120" w:after="0"/>
    </w:pPr>
  </w:style>
  <w:style w:type="paragraph" w:customStyle="1" w:styleId="SidebarFootnoteText">
    <w:name w:val="Sidebar Footnote Text"/>
    <w:basedOn w:val="SidebarBodyText"/>
    <w:qFormat/>
    <w:rsid w:val="00136FCE"/>
    <w:pPr>
      <w:spacing w:before="60"/>
    </w:pPr>
    <w:rPr>
      <w:sz w:val="18"/>
    </w:rPr>
  </w:style>
  <w:style w:type="paragraph" w:customStyle="1" w:styleId="SidebarNote">
    <w:name w:val="Sidebar Note"/>
    <w:basedOn w:val="SidebarSource"/>
    <w:qFormat/>
    <w:rsid w:val="00136FCE"/>
    <w:rPr>
      <w:i/>
    </w:rPr>
  </w:style>
  <w:style w:type="paragraph" w:customStyle="1" w:styleId="SidebarListBullet">
    <w:name w:val="Sidebar List Bullet"/>
    <w:qFormat/>
    <w:rsid w:val="00136FCE"/>
    <w:pPr>
      <w:numPr>
        <w:numId w:val="12"/>
      </w:numPr>
      <w:spacing w:before="60" w:after="0"/>
    </w:pPr>
    <w:rPr>
      <w:rFonts w:asciiTheme="majorHAnsi" w:eastAsia="MS Mincho" w:hAnsiTheme="majorHAnsi"/>
      <w:color w:val="44546A" w:themeColor="text2"/>
      <w:sz w:val="20"/>
      <w:szCs w:val="24"/>
    </w:rPr>
  </w:style>
  <w:style w:type="paragraph" w:customStyle="1" w:styleId="FigureTitle">
    <w:name w:val="Figure + Title"/>
    <w:qFormat/>
    <w:rsid w:val="00136FCE"/>
    <w:pPr>
      <w:spacing w:before="240" w:after="120"/>
    </w:pPr>
    <w:rPr>
      <w:rFonts w:asciiTheme="minorHAnsi" w:eastAsia="MS Mincho" w:hAnsiTheme="minorHAnsi"/>
      <w:b/>
      <w:bCs/>
      <w:szCs w:val="18"/>
    </w:rPr>
  </w:style>
  <w:style w:type="paragraph" w:customStyle="1" w:styleId="TableFootnoteText">
    <w:name w:val="Table Footnote Text"/>
    <w:basedOn w:val="Normal"/>
    <w:qFormat/>
    <w:rsid w:val="00136FCE"/>
    <w:pPr>
      <w:spacing w:before="60" w:after="60"/>
    </w:pPr>
    <w:rPr>
      <w:sz w:val="18"/>
    </w:rPr>
  </w:style>
  <w:style w:type="paragraph" w:customStyle="1" w:styleId="Source">
    <w:name w:val="Source"/>
    <w:basedOn w:val="SidebarSource"/>
    <w:qFormat/>
    <w:rsid w:val="00136FCE"/>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136FCE"/>
    <w:rPr>
      <w:vertAlign w:val="superscript"/>
    </w:rPr>
  </w:style>
  <w:style w:type="character" w:customStyle="1" w:styleId="TableFootnoteReference">
    <w:name w:val="Table Footnote Reference"/>
    <w:basedOn w:val="DefaultParagraphFont"/>
    <w:uiPriority w:val="1"/>
    <w:qFormat/>
    <w:rsid w:val="00136FCE"/>
    <w:rPr>
      <w:vertAlign w:val="superscript"/>
    </w:rPr>
  </w:style>
  <w:style w:type="paragraph" w:customStyle="1" w:styleId="QuotePull">
    <w:name w:val="Quote + Pull"/>
    <w:qFormat/>
    <w:rsid w:val="00136FCE"/>
    <w:pPr>
      <w:spacing w:before="240" w:after="240"/>
      <w:ind w:left="2160"/>
      <w:jc w:val="right"/>
    </w:pPr>
    <w:rPr>
      <w:rFonts w:asciiTheme="minorHAnsi" w:eastAsia="MS Mincho" w:hAnsiTheme="minorHAnsi" w:cstheme="minorHAnsi"/>
      <w:b/>
      <w:sz w:val="28"/>
      <w:szCs w:val="24"/>
    </w:rPr>
  </w:style>
  <w:style w:type="paragraph" w:customStyle="1" w:styleId="SidebarH3">
    <w:name w:val="Sidebar H3"/>
    <w:basedOn w:val="SidebarH2"/>
    <w:qFormat/>
    <w:rsid w:val="00136FCE"/>
    <w:rPr>
      <w:i/>
    </w:rPr>
  </w:style>
  <w:style w:type="paragraph" w:customStyle="1" w:styleId="SidebarListNumber">
    <w:name w:val="Sidebar List Number"/>
    <w:basedOn w:val="SidebarBodyText"/>
    <w:qFormat/>
    <w:rsid w:val="00136FCE"/>
    <w:pPr>
      <w:numPr>
        <w:numId w:val="13"/>
      </w:numPr>
      <w:spacing w:before="60"/>
    </w:pPr>
  </w:style>
  <w:style w:type="character" w:customStyle="1" w:styleId="FootnoteEmphasis">
    <w:name w:val="Footnote + Emphasis"/>
    <w:basedOn w:val="DefaultParagraphFont"/>
    <w:uiPriority w:val="1"/>
    <w:qFormat/>
    <w:rsid w:val="00136FCE"/>
    <w:rPr>
      <w:i/>
    </w:rPr>
  </w:style>
  <w:style w:type="character" w:customStyle="1" w:styleId="EndnoteEmphasis">
    <w:name w:val="Endnote + Emphasis"/>
    <w:basedOn w:val="DefaultParagraphFont"/>
    <w:uiPriority w:val="1"/>
    <w:qFormat/>
    <w:rsid w:val="00136FCE"/>
    <w:rPr>
      <w:i/>
    </w:rPr>
  </w:style>
  <w:style w:type="character" w:customStyle="1" w:styleId="EndnoteHyperlink">
    <w:name w:val="Endnote + Hyperlink"/>
    <w:basedOn w:val="Hyperlink"/>
    <w:uiPriority w:val="1"/>
    <w:qFormat/>
    <w:rsid w:val="00136FCE"/>
    <w:rPr>
      <w:color w:val="0563C1" w:themeColor="hyperlink"/>
      <w:u w:val="single"/>
    </w:rPr>
  </w:style>
  <w:style w:type="character" w:customStyle="1" w:styleId="FootnoteHyperlink">
    <w:name w:val="Footnote + Hyperlink"/>
    <w:basedOn w:val="Hyperlink"/>
    <w:uiPriority w:val="1"/>
    <w:qFormat/>
    <w:rsid w:val="00136FCE"/>
    <w:rPr>
      <w:color w:val="0563C1" w:themeColor="hyperlink"/>
      <w:u w:val="single"/>
    </w:rPr>
  </w:style>
  <w:style w:type="paragraph" w:customStyle="1" w:styleId="Abstract">
    <w:name w:val="Abstract"/>
    <w:basedOn w:val="Normal"/>
    <w:qFormat/>
    <w:rsid w:val="00136FCE"/>
    <w:pPr>
      <w:spacing w:before="200" w:after="0"/>
      <w:ind w:left="720" w:right="720"/>
    </w:pPr>
    <w:rPr>
      <w:rFonts w:cstheme="minorHAnsi"/>
    </w:rPr>
  </w:style>
  <w:style w:type="paragraph" w:customStyle="1" w:styleId="SidebarSeparator">
    <w:name w:val="Sidebar Separator"/>
    <w:basedOn w:val="SidebarFootnoteText"/>
    <w:qFormat/>
    <w:rsid w:val="00136FCE"/>
    <w:pPr>
      <w:spacing w:before="200"/>
    </w:pPr>
  </w:style>
  <w:style w:type="character" w:customStyle="1" w:styleId="EndnoteStrong">
    <w:name w:val="Endnote + Strong"/>
    <w:basedOn w:val="DefaultParagraphFont"/>
    <w:uiPriority w:val="1"/>
    <w:qFormat/>
    <w:rsid w:val="00136FCE"/>
    <w:rPr>
      <w:b/>
    </w:rPr>
  </w:style>
  <w:style w:type="character" w:customStyle="1" w:styleId="FootnoteStrong">
    <w:name w:val="Footnote + Strong"/>
    <w:basedOn w:val="DefaultParagraphFont"/>
    <w:uiPriority w:val="1"/>
    <w:qFormat/>
    <w:rsid w:val="00136FCE"/>
    <w:rPr>
      <w:b/>
    </w:rPr>
  </w:style>
  <w:style w:type="paragraph" w:customStyle="1" w:styleId="TableListNumber">
    <w:name w:val="Table List Number"/>
    <w:qFormat/>
    <w:rsid w:val="00136FCE"/>
    <w:pPr>
      <w:numPr>
        <w:numId w:val="14"/>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136FCE"/>
    <w:pPr>
      <w:spacing w:before="120"/>
    </w:pPr>
    <w:rPr>
      <w:sz w:val="18"/>
    </w:rPr>
  </w:style>
  <w:style w:type="paragraph" w:customStyle="1" w:styleId="Disclaimer">
    <w:name w:val="Disclaimer"/>
    <w:basedOn w:val="BodyText"/>
    <w:qFormat/>
    <w:rsid w:val="00136FCE"/>
    <w:rPr>
      <w:sz w:val="20"/>
    </w:rPr>
  </w:style>
  <w:style w:type="paragraph" w:customStyle="1" w:styleId="BackCoverBranding">
    <w:name w:val="Back Cover Branding"/>
    <w:basedOn w:val="NoSpacing"/>
    <w:qFormat/>
    <w:rsid w:val="00136FCE"/>
    <w:pPr>
      <w:spacing w:before="200"/>
    </w:pPr>
    <w:rPr>
      <w:sz w:val="18"/>
    </w:rPr>
  </w:style>
  <w:style w:type="paragraph" w:styleId="NoSpacing">
    <w:name w:val="No Spacing"/>
    <w:uiPriority w:val="99"/>
    <w:qFormat/>
    <w:rsid w:val="00136FCE"/>
    <w:pPr>
      <w:spacing w:after="0" w:line="240" w:lineRule="auto"/>
    </w:pPr>
    <w:rPr>
      <w:rFonts w:asciiTheme="minorHAnsi" w:eastAsia="MS Mincho" w:hAnsiTheme="minorHAnsi"/>
      <w:szCs w:val="24"/>
    </w:rPr>
  </w:style>
  <w:style w:type="paragraph" w:customStyle="1" w:styleId="SeriesTitle">
    <w:name w:val="Series Title"/>
    <w:basedOn w:val="Normal"/>
    <w:qFormat/>
    <w:rsid w:val="00136FCE"/>
    <w:pPr>
      <w:spacing w:after="120"/>
    </w:pPr>
    <w:rPr>
      <w:rFonts w:asciiTheme="majorHAnsi" w:hAnsiTheme="majorHAnsi"/>
      <w:b/>
      <w:color w:val="5B9BD5" w:themeColor="accent1"/>
      <w:sz w:val="32"/>
      <w:szCs w:val="36"/>
    </w:rPr>
  </w:style>
  <w:style w:type="character" w:customStyle="1" w:styleId="SeriesNumber">
    <w:name w:val="Series Number"/>
    <w:basedOn w:val="DefaultParagraphFont"/>
    <w:uiPriority w:val="1"/>
    <w:qFormat/>
    <w:rsid w:val="00136FCE"/>
  </w:style>
  <w:style w:type="paragraph" w:customStyle="1" w:styleId="SidebarSubtitle">
    <w:name w:val="Sidebar Subtitle"/>
    <w:basedOn w:val="SidebarH1"/>
    <w:qFormat/>
    <w:rsid w:val="00136FCE"/>
    <w:pPr>
      <w:spacing w:before="60"/>
    </w:pPr>
    <w:rPr>
      <w:b w:val="0"/>
      <w:i/>
    </w:rPr>
  </w:style>
  <w:style w:type="paragraph" w:customStyle="1" w:styleId="TableHeading2">
    <w:name w:val="Table Heading 2"/>
    <w:basedOn w:val="Normal"/>
    <w:qFormat/>
    <w:rsid w:val="00136FCE"/>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136FCE"/>
    <w:pPr>
      <w:spacing w:before="0"/>
    </w:pPr>
  </w:style>
  <w:style w:type="paragraph" w:customStyle="1" w:styleId="QuoteAttribution">
    <w:name w:val="Quote + Attribution"/>
    <w:basedOn w:val="Quote"/>
    <w:qFormat/>
    <w:rsid w:val="00136FCE"/>
    <w:pPr>
      <w:spacing w:before="0" w:after="240"/>
    </w:pPr>
    <w:rPr>
      <w:i w:val="0"/>
    </w:rPr>
  </w:style>
  <w:style w:type="paragraph" w:styleId="Quote">
    <w:name w:val="Quote"/>
    <w:basedOn w:val="Normal"/>
    <w:next w:val="Normal"/>
    <w:link w:val="QuoteChar"/>
    <w:uiPriority w:val="73"/>
    <w:qFormat/>
    <w:rsid w:val="00136FCE"/>
    <w:pPr>
      <w:spacing w:before="240" w:after="120"/>
      <w:ind w:left="2160"/>
    </w:pPr>
    <w:rPr>
      <w:i/>
      <w:iCs/>
      <w:sz w:val="28"/>
    </w:rPr>
  </w:style>
  <w:style w:type="character" w:customStyle="1" w:styleId="QuoteChar">
    <w:name w:val="Quote Char"/>
    <w:basedOn w:val="DefaultParagraphFont"/>
    <w:link w:val="Quote"/>
    <w:uiPriority w:val="73"/>
    <w:rsid w:val="00136FCE"/>
    <w:rPr>
      <w:rFonts w:asciiTheme="minorHAnsi" w:eastAsia="MS Mincho" w:hAnsiTheme="minorHAnsi"/>
      <w:i/>
      <w:iCs/>
      <w:sz w:val="28"/>
      <w:szCs w:val="24"/>
    </w:rPr>
  </w:style>
  <w:style w:type="paragraph" w:customStyle="1" w:styleId="FigureCaption">
    <w:name w:val="Figure + Caption"/>
    <w:basedOn w:val="Normal"/>
    <w:qFormat/>
    <w:rsid w:val="00136FCE"/>
    <w:pPr>
      <w:spacing w:before="120" w:after="0"/>
    </w:pPr>
    <w:rPr>
      <w:sz w:val="18"/>
    </w:rPr>
  </w:style>
  <w:style w:type="paragraph" w:customStyle="1" w:styleId="TableTitle">
    <w:name w:val="Table + Title"/>
    <w:qFormat/>
    <w:rsid w:val="00136FCE"/>
    <w:pPr>
      <w:spacing w:before="240" w:after="120"/>
    </w:pPr>
    <w:rPr>
      <w:rFonts w:asciiTheme="minorHAnsi" w:eastAsia="MS Mincho" w:hAnsiTheme="minorHAnsi"/>
      <w:b/>
      <w:bCs/>
      <w:szCs w:val="18"/>
    </w:rPr>
  </w:style>
  <w:style w:type="paragraph" w:customStyle="1" w:styleId="SidebarH2">
    <w:name w:val="Sidebar H2"/>
    <w:qFormat/>
    <w:rsid w:val="00136FCE"/>
    <w:pPr>
      <w:spacing w:before="200" w:after="0"/>
    </w:pPr>
    <w:rPr>
      <w:rFonts w:asciiTheme="majorHAnsi" w:eastAsia="MS Mincho" w:hAnsiTheme="majorHAnsi"/>
      <w:b/>
      <w:color w:val="44546A" w:themeColor="text2"/>
      <w:szCs w:val="24"/>
    </w:rPr>
  </w:style>
  <w:style w:type="paragraph" w:styleId="Title">
    <w:name w:val="Title"/>
    <w:basedOn w:val="Normal"/>
    <w:next w:val="Normal"/>
    <w:link w:val="TitleChar"/>
    <w:uiPriority w:val="10"/>
    <w:qFormat/>
    <w:rsid w:val="00136FCE"/>
    <w:pPr>
      <w:spacing w:after="0"/>
      <w:contextualSpacing/>
    </w:pPr>
    <w:rPr>
      <w:rFonts w:asciiTheme="majorHAnsi" w:eastAsiaTheme="majorEastAsia" w:hAnsiTheme="majorHAnsi" w:cstheme="majorBidi"/>
      <w:b/>
      <w:color w:val="323E4F" w:themeColor="text2" w:themeShade="BF"/>
      <w:spacing w:val="5"/>
      <w:kern w:val="28"/>
      <w:sz w:val="44"/>
      <w:szCs w:val="52"/>
    </w:rPr>
  </w:style>
  <w:style w:type="character" w:customStyle="1" w:styleId="TitleChar">
    <w:name w:val="Title Char"/>
    <w:basedOn w:val="DefaultParagraphFont"/>
    <w:link w:val="Title"/>
    <w:uiPriority w:val="10"/>
    <w:rsid w:val="00136FCE"/>
    <w:rPr>
      <w:rFonts w:asciiTheme="majorHAnsi" w:eastAsiaTheme="majorEastAsia" w:hAnsiTheme="majorHAnsi" w:cstheme="majorBidi"/>
      <w:b/>
      <w:color w:val="323E4F" w:themeColor="text2" w:themeShade="BF"/>
      <w:spacing w:val="5"/>
      <w:kern w:val="28"/>
      <w:sz w:val="44"/>
      <w:szCs w:val="52"/>
    </w:rPr>
  </w:style>
  <w:style w:type="character" w:customStyle="1" w:styleId="Heading2Char">
    <w:name w:val="Heading 2 Char"/>
    <w:basedOn w:val="DefaultParagraphFont"/>
    <w:link w:val="Heading2"/>
    <w:uiPriority w:val="9"/>
    <w:rsid w:val="00136FCE"/>
    <w:rPr>
      <w:rFonts w:asciiTheme="majorHAnsi" w:eastAsiaTheme="majorEastAsia" w:hAnsiTheme="majorHAnsi" w:cstheme="majorBidi"/>
      <w:b/>
      <w:bCs/>
      <w:color w:val="2E74B5" w:themeColor="accent1" w:themeShade="BF"/>
      <w:sz w:val="40"/>
      <w:szCs w:val="40"/>
    </w:rPr>
  </w:style>
  <w:style w:type="character" w:customStyle="1" w:styleId="Heading3Char">
    <w:name w:val="Heading 3 Char"/>
    <w:basedOn w:val="DefaultParagraphFont"/>
    <w:link w:val="Heading3"/>
    <w:uiPriority w:val="9"/>
    <w:rsid w:val="00136FCE"/>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136FCE"/>
    <w:rPr>
      <w:rFonts w:asciiTheme="majorHAnsi" w:eastAsiaTheme="majorEastAsia" w:hAnsiTheme="majorHAnsi" w:cstheme="majorBidi"/>
      <w:bCs/>
      <w:color w:val="2E74B5" w:themeColor="accent1" w:themeShade="BF"/>
      <w:sz w:val="28"/>
      <w:szCs w:val="24"/>
    </w:rPr>
  </w:style>
  <w:style w:type="character" w:customStyle="1" w:styleId="Heading5Char">
    <w:name w:val="Heading 5 Char"/>
    <w:basedOn w:val="DefaultParagraphFont"/>
    <w:link w:val="Heading5"/>
    <w:uiPriority w:val="9"/>
    <w:semiHidden/>
    <w:rsid w:val="00136FCE"/>
    <w:rPr>
      <w:rFonts w:asciiTheme="majorHAnsi" w:eastAsiaTheme="majorEastAsia" w:hAnsiTheme="majorHAnsi" w:cstheme="majorBidi"/>
      <w:b/>
      <w:bCs/>
      <w:iCs/>
      <w:color w:val="2E74B5" w:themeColor="accent1" w:themeShade="BF"/>
    </w:rPr>
  </w:style>
  <w:style w:type="character" w:customStyle="1" w:styleId="Heading7Char">
    <w:name w:val="Heading 7 Char"/>
    <w:basedOn w:val="DefaultParagraphFont"/>
    <w:link w:val="Heading7"/>
    <w:uiPriority w:val="9"/>
    <w:semiHidden/>
    <w:rsid w:val="00136FC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136F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6FCE"/>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136FCE"/>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136FCE"/>
    <w:pPr>
      <w:numPr>
        <w:numId w:val="10"/>
      </w:numPr>
      <w:spacing w:before="120" w:after="0"/>
    </w:pPr>
  </w:style>
  <w:style w:type="paragraph" w:styleId="Subtitle">
    <w:name w:val="Subtitle"/>
    <w:basedOn w:val="Normal"/>
    <w:next w:val="Normal"/>
    <w:link w:val="SubtitleChar"/>
    <w:uiPriority w:val="11"/>
    <w:qFormat/>
    <w:rsid w:val="00136FCE"/>
    <w:pPr>
      <w:numPr>
        <w:ilvl w:val="1"/>
      </w:numPr>
      <w:spacing w:after="240"/>
    </w:pPr>
    <w:rPr>
      <w:rFonts w:asciiTheme="majorHAnsi" w:eastAsiaTheme="majorEastAsia" w:hAnsiTheme="majorHAnsi" w:cstheme="majorBidi"/>
      <w:i/>
      <w:iCs/>
      <w:color w:val="5B9BD5" w:themeColor="accent1"/>
      <w:spacing w:val="15"/>
      <w:sz w:val="28"/>
    </w:rPr>
  </w:style>
  <w:style w:type="character" w:customStyle="1" w:styleId="SubtitleChar">
    <w:name w:val="Subtitle Char"/>
    <w:basedOn w:val="DefaultParagraphFont"/>
    <w:link w:val="Subtitle"/>
    <w:uiPriority w:val="11"/>
    <w:rsid w:val="00136FCE"/>
    <w:rPr>
      <w:rFonts w:asciiTheme="majorHAnsi" w:eastAsiaTheme="majorEastAsia" w:hAnsiTheme="majorHAnsi" w:cstheme="majorBidi"/>
      <w:i/>
      <w:iCs/>
      <w:color w:val="5B9BD5" w:themeColor="accent1"/>
      <w:spacing w:val="15"/>
      <w:sz w:val="28"/>
      <w:szCs w:val="24"/>
    </w:rPr>
  </w:style>
  <w:style w:type="character" w:styleId="Strong">
    <w:name w:val="Strong"/>
    <w:uiPriority w:val="22"/>
    <w:qFormat/>
    <w:rsid w:val="00136FCE"/>
    <w:rPr>
      <w:b/>
      <w:bCs/>
    </w:rPr>
  </w:style>
  <w:style w:type="character" w:styleId="Emphasis">
    <w:name w:val="Emphasis"/>
    <w:uiPriority w:val="20"/>
    <w:qFormat/>
    <w:rsid w:val="00136FCE"/>
    <w:rPr>
      <w:i/>
      <w:iCs/>
    </w:rPr>
  </w:style>
  <w:style w:type="paragraph" w:styleId="Bibliography">
    <w:name w:val="Bibliography"/>
    <w:basedOn w:val="Normal"/>
    <w:next w:val="Normal"/>
    <w:uiPriority w:val="37"/>
    <w:semiHidden/>
    <w:unhideWhenUsed/>
    <w:qFormat/>
    <w:rsid w:val="00136FCE"/>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136FCE"/>
    <w:pPr>
      <w:outlineLvl w:val="9"/>
    </w:pPr>
  </w:style>
  <w:style w:type="paragraph" w:styleId="Revision">
    <w:name w:val="Revision"/>
    <w:hidden/>
    <w:uiPriority w:val="99"/>
    <w:semiHidden/>
    <w:rsid w:val="00A72588"/>
    <w:pPr>
      <w:spacing w:after="0" w:line="240" w:lineRule="auto"/>
    </w:pPr>
    <w:rPr>
      <w:rFonts w:asciiTheme="minorHAnsi" w:eastAsia="MS Mincho"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Template: Developing an MOU or MOA to Prevent and Respond Effectively to Missing or Murdered Indigenous Persons (MMIP) Cases</dc:title>
  <dc:subject/>
  <dc:creator/>
  <cp:keywords/>
  <dc:description/>
  <cp:lastModifiedBy/>
  <cp:revision>1</cp:revision>
  <dcterms:created xsi:type="dcterms:W3CDTF">2023-02-15T14:38:00Z</dcterms:created>
  <dcterms:modified xsi:type="dcterms:W3CDTF">2023-02-15T14:47:00Z</dcterms:modified>
</cp:coreProperties>
</file>